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87F" w:rsidRDefault="0073787F" w:rsidP="0073787F">
      <w:pPr>
        <w:spacing w:line="240" w:lineRule="auto"/>
        <w:ind w:firstLineChars="200" w:firstLine="721"/>
        <w:jc w:val="center"/>
        <w:rPr>
          <w:rFonts w:ascii="华文中宋" w:eastAsia="华文中宋" w:hAnsi="华文中宋"/>
          <w:b/>
          <w:sz w:val="36"/>
          <w:lang w:eastAsia="zh-CN"/>
        </w:rPr>
      </w:pPr>
      <w:r w:rsidRPr="00481F41">
        <w:rPr>
          <w:rFonts w:ascii="华文中宋" w:eastAsia="华文中宋" w:hAnsi="华文中宋"/>
          <w:b/>
          <w:sz w:val="36"/>
          <w:lang w:eastAsia="zh-CN"/>
        </w:rPr>
        <w:t>《生物医学新技术确证性临床研究技术指导原则</w:t>
      </w:r>
      <w:r w:rsidRPr="00481F41">
        <w:rPr>
          <w:rFonts w:ascii="华文中宋" w:eastAsia="华文中宋" w:hAnsi="华文中宋" w:hint="eastAsia"/>
          <w:b/>
          <w:sz w:val="36"/>
          <w:lang w:eastAsia="zh-CN"/>
        </w:rPr>
        <w:t>（征求意见稿）</w:t>
      </w:r>
      <w:r w:rsidRPr="00481F41">
        <w:rPr>
          <w:rFonts w:ascii="华文中宋" w:eastAsia="华文中宋" w:hAnsi="华文中宋"/>
          <w:b/>
          <w:sz w:val="36"/>
          <w:lang w:eastAsia="zh-CN"/>
        </w:rPr>
        <w:t>》起草说明</w:t>
      </w:r>
    </w:p>
    <w:p w:rsidR="0073787F" w:rsidRPr="00481F41" w:rsidRDefault="0073787F" w:rsidP="0073787F">
      <w:pPr>
        <w:spacing w:line="240" w:lineRule="auto"/>
        <w:ind w:firstLineChars="200" w:firstLine="440"/>
        <w:jc w:val="center"/>
        <w:rPr>
          <w:rFonts w:ascii="华文中宋" w:eastAsia="华文中宋" w:hAnsi="华文中宋"/>
          <w:sz w:val="22"/>
          <w:lang w:eastAsia="zh-CN"/>
        </w:rPr>
      </w:pPr>
    </w:p>
    <w:p w:rsidR="0073787F" w:rsidRPr="00481F41" w:rsidRDefault="0073787F" w:rsidP="0073787F">
      <w:pPr>
        <w:pStyle w:val="2"/>
        <w:spacing w:before="160" w:after="80" w:line="360" w:lineRule="auto"/>
        <w:ind w:firstLineChars="200" w:firstLine="640"/>
        <w:rPr>
          <w:rFonts w:ascii="黑体" w:eastAsia="黑体" w:hAnsi="黑体" w:cs="Times New Roman"/>
          <w:b w:val="0"/>
          <w:color w:val="auto"/>
          <w:sz w:val="32"/>
          <w:szCs w:val="32"/>
          <w:lang w:eastAsia="zh-CN"/>
        </w:rPr>
      </w:pPr>
      <w:r w:rsidRPr="00481F41">
        <w:rPr>
          <w:rFonts w:ascii="黑体" w:eastAsia="黑体" w:hAnsi="黑体" w:cs="Times New Roman"/>
          <w:b w:val="0"/>
          <w:color w:val="auto"/>
          <w:sz w:val="32"/>
          <w:szCs w:val="32"/>
          <w:lang w:eastAsia="zh-CN"/>
        </w:rPr>
        <w:t>一、起草背景</w:t>
      </w:r>
      <w:r>
        <w:rPr>
          <w:rFonts w:ascii="黑体" w:eastAsia="黑体" w:hAnsi="黑体" w:cs="Times New Roman" w:hint="eastAsia"/>
          <w:b w:val="0"/>
          <w:color w:val="auto"/>
          <w:sz w:val="32"/>
          <w:szCs w:val="32"/>
          <w:lang w:eastAsia="zh-CN"/>
        </w:rPr>
        <w:t>与过程</w:t>
      </w:r>
    </w:p>
    <w:p w:rsidR="00A2745A" w:rsidRDefault="0048218B" w:rsidP="0073787F">
      <w:pPr>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sz w:val="32"/>
          <w:szCs w:val="32"/>
          <w:lang w:eastAsia="zh-CN"/>
        </w:rPr>
        <w:t>《生物医学新技术临床研究和临床转化应用管理条例》</w:t>
      </w:r>
      <w:r>
        <w:rPr>
          <w:rFonts w:ascii="Times New Roman" w:eastAsia="仿宋_GB2312" w:hAnsi="Times New Roman" w:cs="Times New Roman" w:hint="eastAsia"/>
          <w:sz w:val="32"/>
          <w:szCs w:val="32"/>
          <w:lang w:eastAsia="zh-CN"/>
        </w:rPr>
        <w:t>及</w:t>
      </w:r>
      <w:r>
        <w:rPr>
          <w:rFonts w:ascii="Times New Roman" w:eastAsia="仿宋_GB2312" w:hAnsi="Times New Roman" w:cs="Times New Roman"/>
          <w:sz w:val="32"/>
          <w:szCs w:val="32"/>
          <w:lang w:eastAsia="zh-CN"/>
        </w:rPr>
        <w:t>相关配套制度</w:t>
      </w:r>
      <w:r w:rsidR="0073787F">
        <w:rPr>
          <w:rFonts w:ascii="Times New Roman" w:eastAsia="仿宋_GB2312" w:hAnsi="Times New Roman" w:cs="Times New Roman" w:hint="eastAsia"/>
          <w:sz w:val="32"/>
          <w:szCs w:val="32"/>
          <w:lang w:eastAsia="zh-CN"/>
        </w:rPr>
        <w:t>已于</w:t>
      </w:r>
      <w:r w:rsidR="0073787F">
        <w:rPr>
          <w:rFonts w:ascii="Times New Roman" w:eastAsia="仿宋_GB2312" w:hAnsi="Times New Roman" w:cs="Times New Roman" w:hint="eastAsia"/>
          <w:sz w:val="32"/>
          <w:szCs w:val="32"/>
          <w:lang w:eastAsia="zh-CN"/>
        </w:rPr>
        <w:t>2</w:t>
      </w:r>
      <w:r w:rsidR="0073787F">
        <w:rPr>
          <w:rFonts w:ascii="Times New Roman" w:eastAsia="仿宋_GB2312" w:hAnsi="Times New Roman" w:cs="Times New Roman"/>
          <w:sz w:val="32"/>
          <w:szCs w:val="32"/>
          <w:lang w:eastAsia="zh-CN"/>
        </w:rPr>
        <w:t>026</w:t>
      </w:r>
      <w:r w:rsidR="0073787F">
        <w:rPr>
          <w:rFonts w:ascii="Times New Roman" w:eastAsia="仿宋_GB2312" w:hAnsi="Times New Roman" w:cs="Times New Roman" w:hint="eastAsia"/>
          <w:sz w:val="32"/>
          <w:szCs w:val="32"/>
          <w:lang w:eastAsia="zh-CN"/>
        </w:rPr>
        <w:t>年</w:t>
      </w:r>
      <w:r w:rsidR="0073787F">
        <w:rPr>
          <w:rFonts w:ascii="Times New Roman" w:eastAsia="仿宋_GB2312" w:hAnsi="Times New Roman" w:cs="Times New Roman" w:hint="eastAsia"/>
          <w:sz w:val="32"/>
          <w:szCs w:val="32"/>
          <w:lang w:eastAsia="zh-CN"/>
        </w:rPr>
        <w:t>5</w:t>
      </w:r>
      <w:r w:rsidR="0073787F">
        <w:rPr>
          <w:rFonts w:ascii="Times New Roman" w:eastAsia="仿宋_GB2312" w:hAnsi="Times New Roman" w:cs="Times New Roman" w:hint="eastAsia"/>
          <w:sz w:val="32"/>
          <w:szCs w:val="32"/>
          <w:lang w:eastAsia="zh-CN"/>
        </w:rPr>
        <w:t>月</w:t>
      </w:r>
      <w:r w:rsidR="0073787F">
        <w:rPr>
          <w:rFonts w:ascii="Times New Roman" w:eastAsia="仿宋_GB2312" w:hAnsi="Times New Roman" w:cs="Times New Roman" w:hint="eastAsia"/>
          <w:sz w:val="32"/>
          <w:szCs w:val="32"/>
          <w:lang w:eastAsia="zh-CN"/>
        </w:rPr>
        <w:t>1</w:t>
      </w:r>
      <w:r w:rsidR="0073787F">
        <w:rPr>
          <w:rFonts w:ascii="Times New Roman" w:eastAsia="仿宋_GB2312" w:hAnsi="Times New Roman" w:cs="Times New Roman" w:hint="eastAsia"/>
          <w:sz w:val="32"/>
          <w:szCs w:val="32"/>
          <w:lang w:eastAsia="zh-CN"/>
        </w:rPr>
        <w:t>日起</w:t>
      </w:r>
      <w:r w:rsidR="0073787F" w:rsidRPr="00481F41">
        <w:rPr>
          <w:rFonts w:ascii="Times New Roman" w:eastAsia="仿宋_GB2312" w:hAnsi="Times New Roman" w:cs="Times New Roman"/>
          <w:sz w:val="32"/>
          <w:szCs w:val="32"/>
          <w:lang w:eastAsia="zh-CN"/>
        </w:rPr>
        <w:t>实施</w:t>
      </w:r>
      <w:r w:rsidR="0073787F">
        <w:rPr>
          <w:rFonts w:ascii="Times New Roman" w:eastAsia="仿宋_GB2312" w:hAnsi="Times New Roman" w:cs="Times New Roman" w:hint="eastAsia"/>
          <w:sz w:val="32"/>
          <w:szCs w:val="32"/>
          <w:lang w:eastAsia="zh-CN"/>
        </w:rPr>
        <w:t>。</w:t>
      </w:r>
      <w:r w:rsidR="0073787F" w:rsidRPr="00481F41">
        <w:rPr>
          <w:rFonts w:ascii="Times New Roman" w:eastAsia="仿宋_GB2312" w:hAnsi="Times New Roman" w:cs="Times New Roman"/>
          <w:sz w:val="32"/>
          <w:szCs w:val="32"/>
          <w:lang w:eastAsia="zh-CN"/>
        </w:rPr>
        <w:t>生物医学新技术具有创新性强、作用机制复杂、技术迭代快、</w:t>
      </w:r>
      <w:r w:rsidRPr="00481F41">
        <w:rPr>
          <w:rFonts w:ascii="Times New Roman" w:eastAsia="仿宋_GB2312" w:hAnsi="Times New Roman" w:cs="Times New Roman"/>
          <w:sz w:val="32"/>
          <w:szCs w:val="32"/>
          <w:lang w:eastAsia="zh-CN"/>
        </w:rPr>
        <w:t>风险识别和长期随访要求高</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sz w:val="32"/>
          <w:szCs w:val="32"/>
          <w:lang w:eastAsia="zh-CN"/>
        </w:rPr>
        <w:t>以及</w:t>
      </w:r>
      <w:r w:rsidR="0073787F" w:rsidRPr="00481F41">
        <w:rPr>
          <w:rFonts w:ascii="Times New Roman" w:eastAsia="仿宋_GB2312" w:hAnsi="Times New Roman" w:cs="Times New Roman"/>
          <w:sz w:val="32"/>
          <w:szCs w:val="32"/>
          <w:lang w:eastAsia="zh-CN"/>
        </w:rPr>
        <w:t>临床应用</w:t>
      </w:r>
      <w:r w:rsidR="008C42DF">
        <w:rPr>
          <w:rFonts w:ascii="Times New Roman" w:eastAsia="仿宋_GB2312" w:hAnsi="Times New Roman" w:cs="Times New Roman" w:hint="eastAsia"/>
          <w:sz w:val="32"/>
          <w:szCs w:val="32"/>
          <w:lang w:eastAsia="zh-CN"/>
        </w:rPr>
        <w:t>场景多样</w:t>
      </w:r>
      <w:r w:rsidR="0073787F" w:rsidRPr="00481F41">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可重复性</w:t>
      </w:r>
      <w:r>
        <w:rPr>
          <w:rFonts w:ascii="Times New Roman" w:eastAsia="仿宋_GB2312" w:hAnsi="Times New Roman" w:cs="Times New Roman"/>
          <w:sz w:val="32"/>
          <w:szCs w:val="32"/>
          <w:lang w:eastAsia="zh-CN"/>
        </w:rPr>
        <w:t>要求高</w:t>
      </w:r>
      <w:r w:rsidR="0073787F" w:rsidRPr="00481F41">
        <w:rPr>
          <w:rFonts w:ascii="Times New Roman" w:eastAsia="仿宋_GB2312" w:hAnsi="Times New Roman" w:cs="Times New Roman"/>
          <w:sz w:val="32"/>
          <w:szCs w:val="32"/>
          <w:lang w:eastAsia="zh-CN"/>
        </w:rPr>
        <w:t>等特点</w:t>
      </w:r>
      <w:r w:rsidR="00580D37">
        <w:rPr>
          <w:rFonts w:ascii="Times New Roman" w:eastAsia="仿宋_GB2312" w:hAnsi="Times New Roman" w:cs="Times New Roman" w:hint="eastAsia"/>
          <w:sz w:val="32"/>
          <w:szCs w:val="32"/>
          <w:lang w:eastAsia="zh-CN"/>
        </w:rPr>
        <w:t>。</w:t>
      </w:r>
      <w:r w:rsidR="0073787F">
        <w:rPr>
          <w:rFonts w:ascii="Times New Roman" w:eastAsia="仿宋_GB2312" w:hAnsi="Times New Roman" w:cs="Times New Roman" w:hint="eastAsia"/>
          <w:sz w:val="32"/>
          <w:szCs w:val="32"/>
          <w:lang w:eastAsia="zh-CN"/>
        </w:rPr>
        <w:t>为</w:t>
      </w:r>
      <w:r w:rsidR="0073787F">
        <w:rPr>
          <w:rFonts w:ascii="Times New Roman" w:eastAsia="仿宋_GB2312" w:hAnsi="Times New Roman" w:cs="Times New Roman"/>
          <w:sz w:val="32"/>
          <w:szCs w:val="32"/>
          <w:lang w:eastAsia="zh-CN"/>
        </w:rPr>
        <w:t>规范</w:t>
      </w:r>
      <w:r w:rsidR="0073787F">
        <w:rPr>
          <w:rFonts w:ascii="Times New Roman" w:eastAsia="仿宋_GB2312" w:hAnsi="Times New Roman" w:cs="Times New Roman" w:hint="eastAsia"/>
          <w:sz w:val="32"/>
          <w:szCs w:val="32"/>
          <w:lang w:eastAsia="zh-CN"/>
        </w:rPr>
        <w:t>生物医学</w:t>
      </w:r>
      <w:r w:rsidR="0073787F">
        <w:rPr>
          <w:rFonts w:ascii="Times New Roman" w:eastAsia="仿宋_GB2312" w:hAnsi="Times New Roman" w:cs="Times New Roman"/>
          <w:sz w:val="32"/>
          <w:szCs w:val="32"/>
          <w:lang w:eastAsia="zh-CN"/>
        </w:rPr>
        <w:t>新技术确证性</w:t>
      </w:r>
      <w:r w:rsidR="0073787F">
        <w:rPr>
          <w:rFonts w:ascii="Times New Roman" w:eastAsia="仿宋_GB2312" w:hAnsi="Times New Roman" w:cs="Times New Roman" w:hint="eastAsia"/>
          <w:sz w:val="32"/>
          <w:szCs w:val="32"/>
          <w:lang w:eastAsia="zh-CN"/>
        </w:rPr>
        <w:t>临床研究</w:t>
      </w:r>
      <w:r>
        <w:rPr>
          <w:rFonts w:ascii="Times New Roman" w:eastAsia="仿宋_GB2312" w:hAnsi="Times New Roman" w:cs="Times New Roman" w:hint="eastAsia"/>
          <w:sz w:val="32"/>
          <w:szCs w:val="32"/>
          <w:lang w:eastAsia="zh-CN"/>
        </w:rPr>
        <w:t>活动</w:t>
      </w:r>
      <w:r w:rsidR="0073787F">
        <w:rPr>
          <w:rFonts w:ascii="Times New Roman" w:eastAsia="仿宋_GB2312" w:hAnsi="Times New Roman" w:cs="Times New Roman"/>
          <w:sz w:val="32"/>
          <w:szCs w:val="32"/>
          <w:lang w:eastAsia="zh-CN"/>
        </w:rPr>
        <w:t>，指导</w:t>
      </w:r>
      <w:r w:rsidR="0073787F">
        <w:rPr>
          <w:rFonts w:ascii="Times New Roman" w:eastAsia="仿宋_GB2312" w:hAnsi="Times New Roman" w:cs="Times New Roman" w:hint="eastAsia"/>
          <w:sz w:val="32"/>
          <w:szCs w:val="32"/>
          <w:lang w:eastAsia="zh-CN"/>
        </w:rPr>
        <w:t>临床研究</w:t>
      </w:r>
      <w:r w:rsidR="0073787F">
        <w:rPr>
          <w:rFonts w:ascii="Times New Roman" w:eastAsia="仿宋_GB2312" w:hAnsi="Times New Roman" w:cs="Times New Roman"/>
          <w:sz w:val="32"/>
          <w:szCs w:val="32"/>
          <w:lang w:eastAsia="zh-CN"/>
        </w:rPr>
        <w:t>发起机构、临床研究机构及研究者</w:t>
      </w:r>
      <w:r w:rsidR="0073787F">
        <w:rPr>
          <w:rFonts w:ascii="Times New Roman" w:eastAsia="仿宋_GB2312" w:hAnsi="Times New Roman" w:cs="Times New Roman" w:hint="eastAsia"/>
          <w:sz w:val="32"/>
          <w:szCs w:val="32"/>
          <w:lang w:eastAsia="zh-CN"/>
        </w:rPr>
        <w:t>科学</w:t>
      </w:r>
      <w:r w:rsidR="008C42DF">
        <w:rPr>
          <w:rFonts w:ascii="Times New Roman" w:eastAsia="仿宋_GB2312" w:hAnsi="Times New Roman" w:cs="Times New Roman" w:hint="eastAsia"/>
          <w:sz w:val="32"/>
          <w:szCs w:val="32"/>
          <w:lang w:eastAsia="zh-CN"/>
        </w:rPr>
        <w:t>规范</w:t>
      </w:r>
      <w:r w:rsidR="0073787F">
        <w:rPr>
          <w:rFonts w:ascii="Times New Roman" w:eastAsia="仿宋_GB2312" w:hAnsi="Times New Roman" w:cs="Times New Roman"/>
          <w:sz w:val="32"/>
          <w:szCs w:val="32"/>
          <w:lang w:eastAsia="zh-CN"/>
        </w:rPr>
        <w:t>开展高质量临床研究，</w:t>
      </w:r>
      <w:r w:rsidR="0073787F">
        <w:rPr>
          <w:rFonts w:ascii="Times New Roman" w:eastAsia="仿宋_GB2312" w:hAnsi="Times New Roman" w:cs="Times New Roman" w:hint="eastAsia"/>
          <w:sz w:val="32"/>
          <w:szCs w:val="32"/>
          <w:lang w:eastAsia="zh-CN"/>
        </w:rPr>
        <w:t>获取</w:t>
      </w:r>
      <w:r w:rsidR="0073787F">
        <w:rPr>
          <w:rFonts w:ascii="Times New Roman" w:eastAsia="仿宋_GB2312" w:hAnsi="Times New Roman" w:cs="Times New Roman"/>
          <w:sz w:val="32"/>
          <w:szCs w:val="32"/>
          <w:lang w:eastAsia="zh-CN"/>
        </w:rPr>
        <w:t>可用于生物医学新技术临床转化应用</w:t>
      </w:r>
      <w:r w:rsidR="0073787F">
        <w:rPr>
          <w:rFonts w:ascii="Times New Roman" w:eastAsia="仿宋_GB2312" w:hAnsi="Times New Roman" w:cs="Times New Roman" w:hint="eastAsia"/>
          <w:sz w:val="32"/>
          <w:szCs w:val="32"/>
          <w:lang w:eastAsia="zh-CN"/>
        </w:rPr>
        <w:t>评价</w:t>
      </w:r>
      <w:r w:rsidR="0073787F">
        <w:rPr>
          <w:rFonts w:ascii="Times New Roman" w:eastAsia="仿宋_GB2312" w:hAnsi="Times New Roman" w:cs="Times New Roman"/>
          <w:sz w:val="32"/>
          <w:szCs w:val="32"/>
          <w:lang w:eastAsia="zh-CN"/>
        </w:rPr>
        <w:t>的</w:t>
      </w:r>
      <w:r w:rsidR="0073787F">
        <w:rPr>
          <w:rFonts w:ascii="Times New Roman" w:eastAsia="仿宋_GB2312" w:hAnsi="Times New Roman" w:cs="Times New Roman" w:hint="eastAsia"/>
          <w:sz w:val="32"/>
          <w:szCs w:val="32"/>
          <w:lang w:eastAsia="zh-CN"/>
        </w:rPr>
        <w:t>关键性</w:t>
      </w:r>
      <w:r w:rsidR="0073787F">
        <w:rPr>
          <w:rFonts w:ascii="Times New Roman" w:eastAsia="仿宋_GB2312" w:hAnsi="Times New Roman" w:cs="Times New Roman"/>
          <w:sz w:val="32"/>
          <w:szCs w:val="32"/>
          <w:lang w:eastAsia="zh-CN"/>
        </w:rPr>
        <w:t>临床证据，</w:t>
      </w:r>
      <w:r w:rsidR="0073787F">
        <w:rPr>
          <w:rFonts w:ascii="Times New Roman" w:eastAsia="仿宋_GB2312" w:hAnsi="Times New Roman" w:cs="Times New Roman" w:hint="eastAsia"/>
          <w:sz w:val="32"/>
          <w:szCs w:val="32"/>
          <w:lang w:eastAsia="zh-CN"/>
        </w:rPr>
        <w:t>我中心</w:t>
      </w:r>
      <w:r w:rsidR="0073787F">
        <w:rPr>
          <w:rFonts w:ascii="Times New Roman" w:eastAsia="仿宋_GB2312" w:hAnsi="Times New Roman" w:cs="Times New Roman"/>
          <w:sz w:val="32"/>
          <w:szCs w:val="32"/>
          <w:lang w:eastAsia="zh-CN"/>
        </w:rPr>
        <w:t>组织</w:t>
      </w:r>
      <w:r w:rsidR="0073787F">
        <w:rPr>
          <w:rFonts w:ascii="Times New Roman" w:eastAsia="仿宋_GB2312" w:hAnsi="Times New Roman" w:cs="Times New Roman" w:hint="eastAsia"/>
          <w:sz w:val="32"/>
          <w:szCs w:val="32"/>
          <w:lang w:eastAsia="zh-CN"/>
        </w:rPr>
        <w:t>临床研究</w:t>
      </w:r>
      <w:r w:rsidR="0073787F">
        <w:rPr>
          <w:rFonts w:ascii="Times New Roman" w:eastAsia="仿宋_GB2312" w:hAnsi="Times New Roman" w:cs="Times New Roman"/>
          <w:sz w:val="32"/>
          <w:szCs w:val="32"/>
          <w:lang w:eastAsia="zh-CN"/>
        </w:rPr>
        <w:t>、</w:t>
      </w:r>
      <w:r w:rsidR="0073787F">
        <w:rPr>
          <w:rFonts w:ascii="Times New Roman" w:eastAsia="仿宋_GB2312" w:hAnsi="Times New Roman" w:cs="Times New Roman" w:hint="eastAsia"/>
          <w:sz w:val="32"/>
          <w:szCs w:val="32"/>
          <w:lang w:eastAsia="zh-CN"/>
        </w:rPr>
        <w:t>生物统计</w:t>
      </w:r>
      <w:r w:rsidR="0073787F" w:rsidRPr="00943424">
        <w:rPr>
          <w:rFonts w:ascii="Times New Roman" w:eastAsia="仿宋_GB2312" w:hAnsi="Times New Roman" w:cs="Times New Roman" w:hint="eastAsia"/>
          <w:sz w:val="32"/>
          <w:szCs w:val="32"/>
          <w:lang w:eastAsia="zh-CN"/>
        </w:rPr>
        <w:t>、罕见病</w:t>
      </w:r>
      <w:r w:rsidR="0073787F">
        <w:rPr>
          <w:rFonts w:ascii="Times New Roman" w:eastAsia="仿宋_GB2312" w:hAnsi="Times New Roman" w:cs="Times New Roman" w:hint="eastAsia"/>
          <w:sz w:val="32"/>
          <w:szCs w:val="32"/>
          <w:lang w:eastAsia="zh-CN"/>
        </w:rPr>
        <w:t>诊疗、</w:t>
      </w:r>
      <w:r w:rsidR="0073787F">
        <w:rPr>
          <w:rFonts w:ascii="Times New Roman" w:eastAsia="仿宋_GB2312" w:hAnsi="Times New Roman" w:cs="Times New Roman"/>
          <w:sz w:val="32"/>
          <w:szCs w:val="32"/>
          <w:lang w:eastAsia="zh-CN"/>
        </w:rPr>
        <w:t>监管科学及</w:t>
      </w:r>
      <w:r w:rsidR="0073787F" w:rsidRPr="00943424">
        <w:rPr>
          <w:rFonts w:ascii="Times New Roman" w:eastAsia="仿宋_GB2312" w:hAnsi="Times New Roman" w:cs="Times New Roman" w:hint="eastAsia"/>
          <w:sz w:val="32"/>
          <w:szCs w:val="32"/>
          <w:lang w:eastAsia="zh-CN"/>
        </w:rPr>
        <w:t>医学伦理</w:t>
      </w:r>
      <w:r w:rsidR="0073787F">
        <w:rPr>
          <w:rFonts w:ascii="Times New Roman" w:eastAsia="仿宋_GB2312" w:hAnsi="Times New Roman" w:cs="Times New Roman" w:hint="eastAsia"/>
          <w:sz w:val="32"/>
          <w:szCs w:val="32"/>
          <w:lang w:eastAsia="zh-CN"/>
        </w:rPr>
        <w:t>等</w:t>
      </w:r>
      <w:r w:rsidR="0073787F">
        <w:rPr>
          <w:rFonts w:ascii="Times New Roman" w:eastAsia="仿宋_GB2312" w:hAnsi="Times New Roman" w:cs="Times New Roman"/>
          <w:sz w:val="32"/>
          <w:szCs w:val="32"/>
          <w:lang w:eastAsia="zh-CN"/>
        </w:rPr>
        <w:t>方面专家共同研究起草了</w:t>
      </w:r>
      <w:r w:rsidR="0073787F" w:rsidRPr="0073787F">
        <w:rPr>
          <w:rFonts w:ascii="Times New Roman" w:eastAsia="仿宋_GB2312" w:hAnsi="Times New Roman" w:cs="Times New Roman"/>
          <w:sz w:val="32"/>
          <w:szCs w:val="32"/>
          <w:lang w:eastAsia="zh-CN"/>
        </w:rPr>
        <w:t>《生物医学新技术确证性临床研究技术指导原则》</w:t>
      </w:r>
      <w:r w:rsidR="0073787F" w:rsidRPr="0073787F">
        <w:rPr>
          <w:rFonts w:ascii="Times New Roman" w:eastAsia="仿宋_GB2312" w:hAnsi="Times New Roman" w:cs="Times New Roman" w:hint="eastAsia"/>
          <w:sz w:val="32"/>
          <w:szCs w:val="32"/>
          <w:lang w:eastAsia="zh-CN"/>
        </w:rPr>
        <w:t>（征求意见稿）</w:t>
      </w:r>
      <w:r w:rsidR="0073787F">
        <w:rPr>
          <w:rFonts w:ascii="Times New Roman" w:eastAsia="仿宋_GB2312" w:hAnsi="Times New Roman" w:cs="Times New Roman" w:hint="eastAsia"/>
          <w:sz w:val="32"/>
          <w:szCs w:val="32"/>
          <w:lang w:eastAsia="zh-CN"/>
        </w:rPr>
        <w:t>（以下</w:t>
      </w:r>
      <w:r w:rsidR="0073787F">
        <w:rPr>
          <w:rFonts w:ascii="Times New Roman" w:eastAsia="仿宋_GB2312" w:hAnsi="Times New Roman" w:cs="Times New Roman"/>
          <w:sz w:val="32"/>
          <w:szCs w:val="32"/>
          <w:lang w:eastAsia="zh-CN"/>
        </w:rPr>
        <w:t>简称《</w:t>
      </w:r>
      <w:r w:rsidR="0073787F">
        <w:rPr>
          <w:rFonts w:ascii="Times New Roman" w:eastAsia="仿宋_GB2312" w:hAnsi="Times New Roman" w:cs="Times New Roman" w:hint="eastAsia"/>
          <w:sz w:val="32"/>
          <w:szCs w:val="32"/>
          <w:lang w:eastAsia="zh-CN"/>
        </w:rPr>
        <w:t>指导原则</w:t>
      </w:r>
      <w:r w:rsidR="0073787F">
        <w:rPr>
          <w:rFonts w:ascii="Times New Roman" w:eastAsia="仿宋_GB2312" w:hAnsi="Times New Roman" w:cs="Times New Roman"/>
          <w:sz w:val="32"/>
          <w:szCs w:val="32"/>
          <w:lang w:eastAsia="zh-CN"/>
        </w:rPr>
        <w:t>》</w:t>
      </w:r>
      <w:r w:rsidR="0073787F">
        <w:rPr>
          <w:rFonts w:ascii="Times New Roman" w:eastAsia="仿宋_GB2312" w:hAnsi="Times New Roman" w:cs="Times New Roman" w:hint="eastAsia"/>
          <w:sz w:val="32"/>
          <w:szCs w:val="32"/>
          <w:lang w:eastAsia="zh-CN"/>
        </w:rPr>
        <w:t>）。</w:t>
      </w:r>
    </w:p>
    <w:p w:rsidR="003168D2" w:rsidRPr="003168D2" w:rsidRDefault="003168D2" w:rsidP="003168D2">
      <w:pPr>
        <w:pStyle w:val="2"/>
        <w:spacing w:before="160" w:after="80" w:line="360" w:lineRule="auto"/>
        <w:ind w:firstLineChars="200" w:firstLine="640"/>
        <w:rPr>
          <w:rFonts w:ascii="黑体" w:eastAsia="黑体" w:hAnsi="黑体" w:cs="Times New Roman"/>
          <w:b w:val="0"/>
          <w:color w:val="auto"/>
          <w:sz w:val="32"/>
          <w:szCs w:val="32"/>
          <w:lang w:eastAsia="zh-CN"/>
        </w:rPr>
      </w:pPr>
      <w:r w:rsidRPr="003168D2">
        <w:rPr>
          <w:rFonts w:ascii="黑体" w:eastAsia="黑体" w:hAnsi="黑体" w:cs="Times New Roman" w:hint="eastAsia"/>
          <w:b w:val="0"/>
          <w:color w:val="auto"/>
          <w:sz w:val="32"/>
          <w:szCs w:val="32"/>
          <w:lang w:eastAsia="zh-CN"/>
        </w:rPr>
        <w:t>二</w:t>
      </w:r>
      <w:r w:rsidRPr="003168D2">
        <w:rPr>
          <w:rFonts w:ascii="黑体" w:eastAsia="黑体" w:hAnsi="黑体" w:cs="Times New Roman"/>
          <w:b w:val="0"/>
          <w:color w:val="auto"/>
          <w:sz w:val="32"/>
          <w:szCs w:val="32"/>
          <w:lang w:eastAsia="zh-CN"/>
        </w:rPr>
        <w:t>、主要内容</w:t>
      </w:r>
    </w:p>
    <w:p w:rsidR="003168D2" w:rsidRPr="003168D2" w:rsidRDefault="003168D2" w:rsidP="003168D2">
      <w:pPr>
        <w:ind w:firstLineChars="200" w:firstLine="640"/>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sz w:val="32"/>
          <w:szCs w:val="32"/>
          <w:lang w:eastAsia="zh-CN"/>
        </w:rPr>
        <w:t>《</w:t>
      </w:r>
      <w:r w:rsidRPr="00481F41">
        <w:rPr>
          <w:rFonts w:ascii="Times New Roman" w:eastAsia="仿宋_GB2312" w:hAnsi="Times New Roman" w:cs="Times New Roman"/>
          <w:sz w:val="32"/>
          <w:szCs w:val="32"/>
          <w:lang w:eastAsia="zh-CN"/>
        </w:rPr>
        <w:t>指导原则</w:t>
      </w:r>
      <w:r>
        <w:rPr>
          <w:rFonts w:ascii="Times New Roman" w:eastAsia="仿宋_GB2312" w:hAnsi="Times New Roman" w:cs="Times New Roman" w:hint="eastAsia"/>
          <w:sz w:val="32"/>
          <w:szCs w:val="32"/>
          <w:lang w:eastAsia="zh-CN"/>
        </w:rPr>
        <w:t>》</w:t>
      </w:r>
      <w:r w:rsidR="008C42DF" w:rsidRPr="008C42DF">
        <w:rPr>
          <w:rFonts w:ascii="Times New Roman" w:eastAsia="仿宋_GB2312" w:hAnsi="Times New Roman" w:cs="Times New Roman"/>
          <w:sz w:val="32"/>
          <w:szCs w:val="32"/>
          <w:lang w:eastAsia="zh-CN"/>
        </w:rPr>
        <w:t>依据《生物医学新技术临床研究和临床转化应用管理条例》</w:t>
      </w:r>
      <w:r w:rsidR="008C42DF" w:rsidRPr="008C42DF">
        <w:rPr>
          <w:rFonts w:ascii="Times New Roman" w:eastAsia="仿宋_GB2312" w:hAnsi="Times New Roman" w:cs="Times New Roman" w:hint="eastAsia"/>
          <w:sz w:val="32"/>
          <w:szCs w:val="32"/>
          <w:lang w:eastAsia="zh-CN"/>
        </w:rPr>
        <w:t>《生物医学新技术临床转化应用审批工作规范》</w:t>
      </w:r>
      <w:r w:rsidR="008C42DF" w:rsidRPr="008C42DF">
        <w:rPr>
          <w:rFonts w:ascii="Times New Roman" w:eastAsia="仿宋_GB2312" w:hAnsi="Times New Roman" w:cs="Times New Roman"/>
          <w:sz w:val="32"/>
          <w:szCs w:val="32"/>
          <w:lang w:eastAsia="zh-CN"/>
        </w:rPr>
        <w:t>及有关配套文件</w:t>
      </w:r>
      <w:r w:rsidR="008C42DF" w:rsidRPr="008C42DF">
        <w:rPr>
          <w:rFonts w:ascii="Times New Roman" w:eastAsia="仿宋_GB2312" w:hAnsi="Times New Roman" w:cs="Times New Roman" w:hint="eastAsia"/>
          <w:sz w:val="32"/>
          <w:szCs w:val="32"/>
          <w:lang w:eastAsia="zh-CN"/>
        </w:rPr>
        <w:t>，结合</w:t>
      </w:r>
      <w:r w:rsidR="008C42DF" w:rsidRPr="008C42DF">
        <w:rPr>
          <w:rFonts w:ascii="Times New Roman" w:eastAsia="仿宋_GB2312" w:hAnsi="Times New Roman" w:cs="Times New Roman"/>
          <w:sz w:val="32"/>
          <w:szCs w:val="32"/>
          <w:lang w:eastAsia="zh-CN"/>
        </w:rPr>
        <w:t>生物医学新技术的技术特征、风险特征和临床转化应用评价需要制定</w:t>
      </w:r>
      <w:r w:rsidR="008C42DF" w:rsidRPr="008C42DF">
        <w:rPr>
          <w:rFonts w:ascii="Times New Roman" w:eastAsia="仿宋_GB2312" w:hAnsi="Times New Roman" w:cs="Times New Roman" w:hint="eastAsia"/>
          <w:sz w:val="32"/>
          <w:szCs w:val="32"/>
          <w:lang w:eastAsia="zh-CN"/>
        </w:rPr>
        <w:t>。正文</w:t>
      </w:r>
      <w:r w:rsidRPr="003168D2">
        <w:rPr>
          <w:rFonts w:ascii="Times New Roman" w:eastAsia="仿宋_GB2312" w:hAnsi="Times New Roman" w:cs="Times New Roman"/>
          <w:sz w:val="32"/>
          <w:szCs w:val="32"/>
          <w:lang w:eastAsia="zh-CN"/>
        </w:rPr>
        <w:t>包括十个部分：概述、基本原则、一般考虑、研究参与者保护、确证性临床</w:t>
      </w:r>
      <w:r w:rsidRPr="003168D2">
        <w:rPr>
          <w:rFonts w:ascii="Times New Roman" w:eastAsia="仿宋_GB2312" w:hAnsi="Times New Roman" w:cs="Times New Roman"/>
          <w:sz w:val="32"/>
          <w:szCs w:val="32"/>
          <w:lang w:eastAsia="zh-CN"/>
        </w:rPr>
        <w:lastRenderedPageBreak/>
        <w:t>研究设计要点、数据质量与研究全过程文件可追溯性、风险管理、用于临床转化应用评价的证据形成、附则、名词解释。</w:t>
      </w:r>
    </w:p>
    <w:p w:rsidR="003168D2" w:rsidRDefault="003168D2" w:rsidP="003168D2">
      <w:pPr>
        <w:ind w:firstLineChars="200" w:firstLine="643"/>
        <w:jc w:val="both"/>
        <w:rPr>
          <w:rFonts w:ascii="Times New Roman" w:eastAsia="仿宋_GB2312" w:hAnsi="Times New Roman" w:cs="Times New Roman"/>
          <w:sz w:val="32"/>
          <w:szCs w:val="32"/>
          <w:lang w:eastAsia="zh-CN"/>
        </w:rPr>
      </w:pP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b/>
          <w:sz w:val="32"/>
          <w:szCs w:val="32"/>
          <w:lang w:eastAsia="zh-CN"/>
        </w:rPr>
        <w:t>概述</w:t>
      </w: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sz w:val="32"/>
          <w:szCs w:val="32"/>
          <w:lang w:eastAsia="zh-CN"/>
        </w:rPr>
        <w:t>明确目的依据、适用范围和确证性临床研究定位；</w:t>
      </w: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b/>
          <w:sz w:val="32"/>
          <w:szCs w:val="32"/>
          <w:lang w:eastAsia="zh-CN"/>
        </w:rPr>
        <w:t>基本原则</w:t>
      </w: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sz w:val="32"/>
          <w:szCs w:val="32"/>
          <w:lang w:eastAsia="zh-CN"/>
        </w:rPr>
        <w:t>提出研究参与者权益优先、临床价值导向、受益与风险相称、科学审慎、设计严谨、实施规范和数据文件可追溯；</w:t>
      </w: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b/>
          <w:sz w:val="32"/>
          <w:szCs w:val="32"/>
          <w:lang w:eastAsia="zh-CN"/>
        </w:rPr>
        <w:t>一般考虑</w:t>
      </w: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sz w:val="32"/>
          <w:szCs w:val="32"/>
          <w:lang w:eastAsia="zh-CN"/>
        </w:rPr>
        <w:t>强调技术属性确认、疾病特征、前期研究基础、技术成熟度和多学科组织保障；</w:t>
      </w: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b/>
          <w:sz w:val="32"/>
          <w:szCs w:val="32"/>
          <w:lang w:eastAsia="zh-CN"/>
        </w:rPr>
        <w:t>研究参与者保护</w:t>
      </w: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sz w:val="32"/>
          <w:szCs w:val="32"/>
          <w:lang w:eastAsia="zh-CN"/>
        </w:rPr>
        <w:t>对伦理审查、知情同意、特殊人群、损害救治和患者参与提出原则性要求；</w:t>
      </w: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b/>
          <w:sz w:val="32"/>
          <w:szCs w:val="32"/>
          <w:lang w:eastAsia="zh-CN"/>
        </w:rPr>
        <w:t>确证性临床研究设计要点</w:t>
      </w: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sz w:val="32"/>
          <w:szCs w:val="32"/>
          <w:lang w:eastAsia="zh-CN"/>
        </w:rPr>
        <w:t>围绕目标人群、对照、随机化盲法、技术实施、有效性、安全性、统计学、合并治疗和研究者培训提出设计要求；</w:t>
      </w: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b/>
          <w:sz w:val="32"/>
          <w:szCs w:val="32"/>
          <w:lang w:eastAsia="zh-CN"/>
        </w:rPr>
        <w:t>数据质量与研究全过程文件可追溯性</w:t>
      </w: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sz w:val="32"/>
          <w:szCs w:val="32"/>
          <w:lang w:eastAsia="zh-CN"/>
        </w:rPr>
        <w:t>强调源数据、数据治理、电子源数据、独立核查和关键文件保存；</w:t>
      </w: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b/>
          <w:sz w:val="32"/>
          <w:szCs w:val="32"/>
          <w:lang w:eastAsia="zh-CN"/>
        </w:rPr>
        <w:t>风险管理</w:t>
      </w:r>
      <w:r w:rsidRPr="003168D2">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sz w:val="32"/>
          <w:szCs w:val="32"/>
          <w:lang w:eastAsia="zh-CN"/>
        </w:rPr>
        <w:t>强调全生命周期风险、暂停中止规则、独立安全性评估和应急处置；</w:t>
      </w:r>
      <w:r w:rsidRPr="001C4BD0">
        <w:rPr>
          <w:rFonts w:ascii="Times New Roman" w:eastAsia="仿宋_GB2312" w:hAnsi="Times New Roman" w:cs="Times New Roman"/>
          <w:b/>
          <w:sz w:val="32"/>
          <w:szCs w:val="32"/>
          <w:lang w:eastAsia="zh-CN"/>
        </w:rPr>
        <w:t>“</w:t>
      </w:r>
      <w:r w:rsidRPr="001C4BD0">
        <w:rPr>
          <w:rFonts w:ascii="Times New Roman" w:eastAsia="仿宋_GB2312" w:hAnsi="Times New Roman" w:cs="Times New Roman"/>
          <w:b/>
          <w:sz w:val="32"/>
          <w:szCs w:val="32"/>
          <w:lang w:eastAsia="zh-CN"/>
        </w:rPr>
        <w:t>证据形成</w:t>
      </w:r>
      <w:r w:rsidRPr="001C4BD0">
        <w:rPr>
          <w:rFonts w:ascii="Times New Roman" w:eastAsia="仿宋_GB2312" w:hAnsi="Times New Roman" w:cs="Times New Roman"/>
          <w:b/>
          <w:sz w:val="32"/>
          <w:szCs w:val="32"/>
          <w:lang w:eastAsia="zh-CN"/>
        </w:rPr>
        <w:t>”</w:t>
      </w:r>
      <w:r w:rsidRPr="003168D2">
        <w:rPr>
          <w:rFonts w:ascii="Times New Roman" w:eastAsia="仿宋_GB2312" w:hAnsi="Times New Roman" w:cs="Times New Roman"/>
          <w:sz w:val="32"/>
          <w:szCs w:val="32"/>
          <w:lang w:eastAsia="zh-CN"/>
        </w:rPr>
        <w:t>明确临床研究报告、适用范围、操作规范、多中心一致性和受益</w:t>
      </w:r>
      <w:r w:rsidRPr="003168D2">
        <w:rPr>
          <w:rFonts w:ascii="Times New Roman" w:eastAsia="仿宋_GB2312" w:hAnsi="Times New Roman" w:cs="Times New Roman"/>
          <w:sz w:val="32"/>
          <w:szCs w:val="32"/>
          <w:lang w:eastAsia="zh-CN"/>
        </w:rPr>
        <w:t>—</w:t>
      </w:r>
      <w:r w:rsidRPr="003168D2">
        <w:rPr>
          <w:rFonts w:ascii="Times New Roman" w:eastAsia="仿宋_GB2312" w:hAnsi="Times New Roman" w:cs="Times New Roman"/>
          <w:sz w:val="32"/>
          <w:szCs w:val="32"/>
          <w:lang w:eastAsia="zh-CN"/>
        </w:rPr>
        <w:t>风险评估要求。</w:t>
      </w:r>
      <w:r w:rsidR="00312544">
        <w:rPr>
          <w:rFonts w:ascii="Times New Roman" w:eastAsia="仿宋_GB2312" w:hAnsi="Times New Roman" w:cs="Times New Roman" w:hint="eastAsia"/>
          <w:b/>
          <w:sz w:val="32"/>
          <w:szCs w:val="32"/>
          <w:lang w:eastAsia="zh-CN"/>
        </w:rPr>
        <w:t>此外，还包括</w:t>
      </w:r>
      <w:r w:rsidR="00D22AEA">
        <w:rPr>
          <w:rFonts w:ascii="Times New Roman" w:eastAsia="仿宋_GB2312" w:hAnsi="Times New Roman" w:cs="Times New Roman" w:hint="eastAsia"/>
          <w:b/>
          <w:sz w:val="32"/>
          <w:szCs w:val="32"/>
          <w:lang w:eastAsia="zh-CN"/>
        </w:rPr>
        <w:t>五</w:t>
      </w:r>
      <w:r w:rsidR="00312544">
        <w:rPr>
          <w:rFonts w:ascii="Times New Roman" w:eastAsia="仿宋_GB2312" w:hAnsi="Times New Roman" w:cs="Times New Roman" w:hint="eastAsia"/>
          <w:b/>
          <w:sz w:val="32"/>
          <w:szCs w:val="32"/>
          <w:lang w:eastAsia="zh-CN"/>
        </w:rPr>
        <w:t>个附录</w:t>
      </w:r>
      <w:r w:rsidR="00312544" w:rsidRPr="004F6D80">
        <w:rPr>
          <w:rFonts w:ascii="Times New Roman" w:eastAsia="仿宋_GB2312" w:hAnsi="Times New Roman" w:cs="Times New Roman" w:hint="eastAsia"/>
          <w:sz w:val="32"/>
          <w:szCs w:val="32"/>
          <w:lang w:eastAsia="zh-CN"/>
        </w:rPr>
        <w:t>，</w:t>
      </w:r>
      <w:r w:rsidR="008C42DF">
        <w:rPr>
          <w:rFonts w:ascii="Times New Roman" w:eastAsia="仿宋_GB2312" w:hAnsi="Times New Roman" w:cs="Times New Roman" w:hint="eastAsia"/>
          <w:sz w:val="32"/>
          <w:szCs w:val="32"/>
          <w:lang w:eastAsia="zh-CN"/>
        </w:rPr>
        <w:t>即</w:t>
      </w:r>
      <w:r w:rsidR="00312544" w:rsidRPr="004F6D80">
        <w:rPr>
          <w:rFonts w:ascii="Times New Roman" w:eastAsia="仿宋_GB2312" w:hAnsi="Times New Roman" w:cs="Times New Roman" w:hint="eastAsia"/>
          <w:sz w:val="32"/>
          <w:szCs w:val="32"/>
          <w:lang w:eastAsia="zh-CN"/>
        </w:rPr>
        <w:t>确证性临床研究方案核心要素清单</w:t>
      </w:r>
      <w:r w:rsidR="00312544">
        <w:rPr>
          <w:rFonts w:ascii="Times New Roman" w:eastAsia="仿宋_GB2312" w:hAnsi="Times New Roman" w:cs="Times New Roman" w:hint="eastAsia"/>
          <w:sz w:val="32"/>
          <w:szCs w:val="32"/>
          <w:lang w:eastAsia="zh-CN"/>
        </w:rPr>
        <w:t>、</w:t>
      </w:r>
      <w:r w:rsidR="00312544" w:rsidRPr="004F6D80">
        <w:rPr>
          <w:rFonts w:ascii="Times New Roman" w:eastAsia="仿宋_GB2312" w:hAnsi="Times New Roman" w:cs="Times New Roman" w:hint="eastAsia"/>
          <w:sz w:val="32"/>
          <w:szCs w:val="32"/>
          <w:lang w:eastAsia="zh-CN"/>
        </w:rPr>
        <w:t>外部对照或历史对照适用性评价要点</w:t>
      </w:r>
      <w:r w:rsidR="00312544">
        <w:rPr>
          <w:rFonts w:ascii="Times New Roman" w:eastAsia="仿宋_GB2312" w:hAnsi="Times New Roman" w:cs="Times New Roman" w:hint="eastAsia"/>
          <w:sz w:val="32"/>
          <w:szCs w:val="32"/>
          <w:lang w:eastAsia="zh-CN"/>
        </w:rPr>
        <w:t>、</w:t>
      </w:r>
      <w:r w:rsidR="00312544" w:rsidRPr="006A0EE4">
        <w:rPr>
          <w:rFonts w:ascii="Times New Roman" w:eastAsia="仿宋_GB2312" w:hAnsi="Times New Roman" w:cs="Times New Roman" w:hint="eastAsia"/>
          <w:sz w:val="32"/>
          <w:szCs w:val="32"/>
          <w:lang w:eastAsia="zh-CN"/>
        </w:rPr>
        <w:t>源数据治理与研究文件核查要点</w:t>
      </w:r>
      <w:r w:rsidR="00D22AEA">
        <w:rPr>
          <w:rFonts w:ascii="Times New Roman" w:eastAsia="仿宋_GB2312" w:hAnsi="Times New Roman" w:cs="Times New Roman" w:hint="eastAsia"/>
          <w:sz w:val="32"/>
          <w:szCs w:val="32"/>
          <w:lang w:eastAsia="zh-CN"/>
        </w:rPr>
        <w:t>、</w:t>
      </w:r>
      <w:r w:rsidR="00312544" w:rsidRPr="006A0EE4">
        <w:rPr>
          <w:rFonts w:ascii="Times New Roman" w:eastAsia="仿宋_GB2312" w:hAnsi="Times New Roman" w:cs="Times New Roman" w:hint="eastAsia"/>
          <w:sz w:val="32"/>
          <w:szCs w:val="32"/>
          <w:lang w:eastAsia="zh-CN"/>
        </w:rPr>
        <w:t>临床转化应用证据包目录建议</w:t>
      </w:r>
      <w:r w:rsidR="00D22AEA" w:rsidRPr="00D22AEA">
        <w:rPr>
          <w:rFonts w:ascii="Times New Roman" w:eastAsia="仿宋_GB2312" w:hAnsi="Times New Roman" w:cs="Times New Roman" w:hint="eastAsia"/>
          <w:sz w:val="32"/>
          <w:szCs w:val="32"/>
          <w:lang w:eastAsia="zh-CN"/>
        </w:rPr>
        <w:t>和主要参考依据</w:t>
      </w:r>
      <w:r w:rsidR="00312544">
        <w:rPr>
          <w:rFonts w:ascii="Times New Roman" w:eastAsia="仿宋_GB2312" w:hAnsi="Times New Roman" w:cs="Times New Roman" w:hint="eastAsia"/>
          <w:sz w:val="32"/>
          <w:szCs w:val="32"/>
          <w:lang w:eastAsia="zh-CN"/>
        </w:rPr>
        <w:t>等</w:t>
      </w:r>
      <w:r w:rsidR="00312544" w:rsidRPr="004F6D80">
        <w:rPr>
          <w:rFonts w:ascii="Times New Roman" w:eastAsia="仿宋_GB2312" w:hAnsi="Times New Roman" w:cs="Times New Roman" w:hint="eastAsia"/>
          <w:sz w:val="32"/>
          <w:szCs w:val="32"/>
          <w:lang w:eastAsia="zh-CN"/>
        </w:rPr>
        <w:t>。</w:t>
      </w:r>
    </w:p>
    <w:p w:rsidR="00312544" w:rsidRPr="00312544" w:rsidRDefault="00312544" w:rsidP="00312544">
      <w:pPr>
        <w:pStyle w:val="2"/>
        <w:spacing w:before="160" w:after="80" w:line="360" w:lineRule="auto"/>
        <w:ind w:firstLineChars="200" w:firstLine="640"/>
        <w:rPr>
          <w:rFonts w:ascii="黑体" w:eastAsia="黑体" w:hAnsi="黑体" w:cs="Times New Roman"/>
          <w:b w:val="0"/>
          <w:color w:val="auto"/>
          <w:sz w:val="32"/>
          <w:szCs w:val="32"/>
          <w:lang w:eastAsia="zh-CN"/>
        </w:rPr>
      </w:pPr>
      <w:r w:rsidRPr="00312544">
        <w:rPr>
          <w:rFonts w:ascii="黑体" w:eastAsia="黑体" w:hAnsi="黑体" w:cs="Times New Roman" w:hint="eastAsia"/>
          <w:b w:val="0"/>
          <w:color w:val="auto"/>
          <w:sz w:val="32"/>
          <w:szCs w:val="32"/>
          <w:lang w:eastAsia="zh-CN"/>
        </w:rPr>
        <w:lastRenderedPageBreak/>
        <w:t>三、</w:t>
      </w:r>
      <w:r w:rsidR="00D147BF">
        <w:rPr>
          <w:rFonts w:ascii="黑体" w:eastAsia="黑体" w:hAnsi="黑体" w:cs="Times New Roman"/>
          <w:b w:val="0"/>
          <w:color w:val="auto"/>
          <w:sz w:val="32"/>
          <w:szCs w:val="32"/>
          <w:lang w:eastAsia="zh-CN"/>
        </w:rPr>
        <w:t>需说明的</w:t>
      </w:r>
      <w:r w:rsidRPr="00312544">
        <w:rPr>
          <w:rFonts w:ascii="黑体" w:eastAsia="黑体" w:hAnsi="黑体" w:cs="Times New Roman"/>
          <w:b w:val="0"/>
          <w:color w:val="auto"/>
          <w:sz w:val="32"/>
          <w:szCs w:val="32"/>
          <w:lang w:eastAsia="zh-CN"/>
        </w:rPr>
        <w:t>问题</w:t>
      </w:r>
    </w:p>
    <w:p w:rsidR="00BB3DFE" w:rsidRDefault="00B43DDC" w:rsidP="00312544">
      <w:pPr>
        <w:spacing w:after="80" w:line="360" w:lineRule="auto"/>
        <w:ind w:firstLineChars="200" w:firstLine="643"/>
        <w:jc w:val="both"/>
        <w:rPr>
          <w:rFonts w:ascii="Times New Roman" w:eastAsia="仿宋_GB2312" w:hAnsi="Times New Roman" w:cs="Times New Roman"/>
          <w:sz w:val="32"/>
          <w:szCs w:val="32"/>
          <w:lang w:eastAsia="zh-CN"/>
        </w:rPr>
      </w:pPr>
      <w:r w:rsidRPr="004F6D80">
        <w:rPr>
          <w:rFonts w:ascii="Times New Roman" w:eastAsia="仿宋_GB2312" w:hAnsi="Times New Roman" w:cs="Times New Roman" w:hint="eastAsia"/>
          <w:b/>
          <w:sz w:val="32"/>
          <w:szCs w:val="32"/>
          <w:lang w:eastAsia="zh-CN"/>
        </w:rPr>
        <w:t>（一）厘清概念边界</w:t>
      </w:r>
      <w:r w:rsidR="0026592D">
        <w:rPr>
          <w:rFonts w:ascii="Times New Roman" w:eastAsia="仿宋_GB2312" w:hAnsi="Times New Roman" w:cs="Times New Roman" w:hint="eastAsia"/>
          <w:b/>
          <w:sz w:val="32"/>
          <w:szCs w:val="32"/>
          <w:lang w:eastAsia="zh-CN"/>
        </w:rPr>
        <w:t>，</w:t>
      </w:r>
      <w:r w:rsidR="00492A54">
        <w:rPr>
          <w:rFonts w:ascii="Times New Roman" w:eastAsia="仿宋_GB2312" w:hAnsi="Times New Roman" w:cs="Times New Roman" w:hint="eastAsia"/>
          <w:b/>
          <w:sz w:val="32"/>
          <w:szCs w:val="32"/>
          <w:lang w:eastAsia="zh-CN"/>
        </w:rPr>
        <w:t>明确研究目的</w:t>
      </w:r>
      <w:r w:rsidRPr="004F6D80">
        <w:rPr>
          <w:rFonts w:ascii="Times New Roman" w:eastAsia="仿宋_GB2312" w:hAnsi="Times New Roman" w:cs="Times New Roman" w:hint="eastAsia"/>
          <w:b/>
          <w:sz w:val="32"/>
          <w:szCs w:val="32"/>
          <w:lang w:eastAsia="zh-CN"/>
        </w:rPr>
        <w:t>。</w:t>
      </w:r>
      <w:r w:rsidRPr="00481F41">
        <w:rPr>
          <w:rFonts w:ascii="Times New Roman" w:eastAsia="仿宋_GB2312" w:hAnsi="Times New Roman" w:cs="Times New Roman"/>
          <w:sz w:val="32"/>
          <w:szCs w:val="32"/>
          <w:lang w:eastAsia="zh-CN"/>
        </w:rPr>
        <w:t>本指导原则所称确证性临床研究</w:t>
      </w:r>
      <w:r>
        <w:rPr>
          <w:rFonts w:ascii="Times New Roman" w:eastAsia="仿宋_GB2312" w:hAnsi="Times New Roman" w:cs="Times New Roman" w:hint="eastAsia"/>
          <w:sz w:val="32"/>
          <w:szCs w:val="32"/>
          <w:lang w:eastAsia="zh-CN"/>
        </w:rPr>
        <w:t>，</w:t>
      </w:r>
      <w:r w:rsidRPr="00481F41">
        <w:rPr>
          <w:rFonts w:ascii="Times New Roman" w:eastAsia="仿宋_GB2312" w:hAnsi="Times New Roman" w:cs="Times New Roman"/>
          <w:sz w:val="32"/>
          <w:szCs w:val="32"/>
          <w:lang w:eastAsia="zh-CN"/>
        </w:rPr>
        <w:t>不同于简单扩大样本量的观察</w:t>
      </w:r>
      <w:r>
        <w:rPr>
          <w:rFonts w:ascii="Times New Roman" w:eastAsia="仿宋_GB2312" w:hAnsi="Times New Roman" w:cs="Times New Roman" w:hint="eastAsia"/>
          <w:sz w:val="32"/>
          <w:szCs w:val="32"/>
          <w:lang w:eastAsia="zh-CN"/>
        </w:rPr>
        <w:t>性研究</w:t>
      </w:r>
      <w:r w:rsidRPr="00481F41">
        <w:rPr>
          <w:rFonts w:ascii="Times New Roman" w:eastAsia="仿宋_GB2312" w:hAnsi="Times New Roman" w:cs="Times New Roman"/>
          <w:sz w:val="32"/>
          <w:szCs w:val="32"/>
          <w:lang w:eastAsia="zh-CN"/>
        </w:rPr>
        <w:t>，</w:t>
      </w:r>
      <w:r w:rsidRPr="00943424">
        <w:rPr>
          <w:rFonts w:ascii="Times New Roman" w:eastAsia="仿宋_GB2312" w:hAnsi="Times New Roman" w:cs="Times New Roman" w:hint="eastAsia"/>
          <w:sz w:val="32"/>
          <w:szCs w:val="32"/>
          <w:lang w:eastAsia="zh-CN"/>
        </w:rPr>
        <w:t>也不照搬药品注册路径的固定分期模式，而是强调在已有科学依据、技术质量控制资料、必要非临床证据和前期临床研究</w:t>
      </w:r>
      <w:r w:rsidRPr="00943424">
        <w:rPr>
          <w:rFonts w:ascii="Times New Roman" w:eastAsia="仿宋_GB2312" w:hAnsi="Times New Roman" w:cs="Times New Roman"/>
          <w:sz w:val="32"/>
          <w:szCs w:val="32"/>
          <w:lang w:eastAsia="zh-CN"/>
        </w:rPr>
        <w:t>/</w:t>
      </w:r>
      <w:r w:rsidRPr="00943424">
        <w:rPr>
          <w:rFonts w:ascii="Times New Roman" w:eastAsia="仿宋_GB2312" w:hAnsi="Times New Roman" w:cs="Times New Roman"/>
          <w:sz w:val="32"/>
          <w:szCs w:val="32"/>
          <w:lang w:eastAsia="zh-CN"/>
        </w:rPr>
        <w:t>观察基础上，围绕拟转化应用的目标适用范围，</w:t>
      </w:r>
      <w:r w:rsidRPr="00481F41">
        <w:rPr>
          <w:rFonts w:ascii="Times New Roman" w:eastAsia="仿宋_GB2312" w:hAnsi="Times New Roman" w:cs="Times New Roman"/>
          <w:sz w:val="32"/>
          <w:szCs w:val="32"/>
          <w:lang w:eastAsia="zh-CN"/>
        </w:rPr>
        <w:t>系统评价</w:t>
      </w:r>
      <w:r>
        <w:rPr>
          <w:rFonts w:ascii="Times New Roman" w:eastAsia="仿宋_GB2312" w:hAnsi="Times New Roman" w:cs="Times New Roman" w:hint="eastAsia"/>
          <w:sz w:val="32"/>
          <w:szCs w:val="32"/>
          <w:lang w:eastAsia="zh-CN"/>
        </w:rPr>
        <w:t>技术的</w:t>
      </w:r>
      <w:r w:rsidRPr="00481F41">
        <w:rPr>
          <w:rFonts w:ascii="Times New Roman" w:eastAsia="仿宋_GB2312" w:hAnsi="Times New Roman" w:cs="Times New Roman"/>
          <w:sz w:val="32"/>
          <w:szCs w:val="32"/>
          <w:lang w:eastAsia="zh-CN"/>
        </w:rPr>
        <w:t>安全性、有效性、操作规范、技术可重复性、质量可控性和受益</w:t>
      </w:r>
      <w:r>
        <w:rPr>
          <w:rFonts w:ascii="Times New Roman" w:eastAsia="仿宋_GB2312" w:hAnsi="Times New Roman" w:cs="Times New Roman"/>
          <w:sz w:val="32"/>
          <w:szCs w:val="32"/>
          <w:lang w:eastAsia="zh-CN"/>
        </w:rPr>
        <w:t>-</w:t>
      </w:r>
      <w:r w:rsidRPr="00481F41">
        <w:rPr>
          <w:rFonts w:ascii="Times New Roman" w:eastAsia="仿宋_GB2312" w:hAnsi="Times New Roman" w:cs="Times New Roman"/>
          <w:sz w:val="32"/>
          <w:szCs w:val="32"/>
          <w:lang w:eastAsia="zh-CN"/>
        </w:rPr>
        <w:t>风险比</w:t>
      </w:r>
      <w:r w:rsidRPr="00943EE9">
        <w:rPr>
          <w:rFonts w:ascii="Times New Roman" w:eastAsia="仿宋_GB2312" w:hAnsi="Times New Roman" w:cs="Times New Roman" w:hint="eastAsia"/>
          <w:sz w:val="32"/>
          <w:szCs w:val="32"/>
          <w:lang w:eastAsia="zh-CN"/>
        </w:rPr>
        <w:t>，最终形成可支撑转化决策的高质量证据。</w:t>
      </w:r>
      <w:r w:rsidR="00492A54">
        <w:rPr>
          <w:rFonts w:ascii="Times New Roman" w:eastAsia="仿宋_GB2312" w:hAnsi="Times New Roman" w:cs="Times New Roman" w:hint="eastAsia"/>
          <w:sz w:val="32"/>
          <w:szCs w:val="32"/>
          <w:lang w:eastAsia="zh-CN"/>
        </w:rPr>
        <w:t>同时</w:t>
      </w:r>
      <w:r w:rsidR="00492A54">
        <w:rPr>
          <w:rFonts w:ascii="Times New Roman" w:eastAsia="仿宋_GB2312" w:hAnsi="Times New Roman" w:cs="Times New Roman"/>
          <w:sz w:val="32"/>
          <w:szCs w:val="32"/>
          <w:lang w:eastAsia="zh-CN"/>
        </w:rPr>
        <w:t>，本指导原则不替代药品、医疗器械注册管理相关要求</w:t>
      </w:r>
      <w:r w:rsidR="00492A54">
        <w:rPr>
          <w:rFonts w:ascii="Times New Roman" w:eastAsia="仿宋_GB2312" w:hAnsi="Times New Roman" w:cs="Times New Roman" w:hint="eastAsia"/>
          <w:sz w:val="32"/>
          <w:szCs w:val="32"/>
          <w:lang w:eastAsia="zh-CN"/>
        </w:rPr>
        <w:t>，</w:t>
      </w:r>
      <w:r w:rsidR="00492A54">
        <w:rPr>
          <w:rFonts w:ascii="Times New Roman" w:eastAsia="仿宋_GB2312" w:hAnsi="Times New Roman" w:cs="Times New Roman"/>
          <w:sz w:val="32"/>
          <w:szCs w:val="32"/>
          <w:lang w:eastAsia="zh-CN"/>
        </w:rPr>
        <w:t>仅用于指导生物医学新技术的临床研究工作。</w:t>
      </w:r>
    </w:p>
    <w:p w:rsidR="00492A54" w:rsidRPr="00312544" w:rsidRDefault="00BB3DFE" w:rsidP="00492A54">
      <w:pPr>
        <w:ind w:firstLineChars="200" w:firstLine="643"/>
        <w:jc w:val="both"/>
        <w:rPr>
          <w:rFonts w:ascii="Times New Roman" w:eastAsia="仿宋_GB2312" w:hAnsi="Times New Roman" w:cs="Times New Roman"/>
          <w:sz w:val="32"/>
          <w:szCs w:val="32"/>
          <w:lang w:eastAsia="zh-CN"/>
        </w:rPr>
      </w:pPr>
      <w:r>
        <w:rPr>
          <w:rFonts w:ascii="Times New Roman" w:eastAsia="仿宋_GB2312" w:hAnsi="Times New Roman" w:cs="Times New Roman" w:hint="eastAsia"/>
          <w:b/>
          <w:sz w:val="32"/>
          <w:szCs w:val="32"/>
          <w:lang w:eastAsia="zh-CN"/>
        </w:rPr>
        <w:t>（二）</w:t>
      </w:r>
      <w:r w:rsidRPr="004F6D80">
        <w:rPr>
          <w:rFonts w:ascii="Times New Roman" w:eastAsia="仿宋_GB2312" w:hAnsi="Times New Roman" w:cs="Times New Roman" w:hint="eastAsia"/>
          <w:b/>
          <w:sz w:val="32"/>
          <w:szCs w:val="32"/>
          <w:lang w:eastAsia="zh-CN"/>
        </w:rPr>
        <w:t>共性指导与分类适用相结合。</w:t>
      </w:r>
      <w:r w:rsidR="00E97961" w:rsidRPr="00E97961">
        <w:rPr>
          <w:rFonts w:ascii="Times New Roman" w:eastAsia="仿宋_GB2312" w:hAnsi="Times New Roman" w:cs="Times New Roman" w:hint="eastAsia"/>
          <w:sz w:val="32"/>
          <w:szCs w:val="32"/>
          <w:lang w:eastAsia="zh-CN"/>
        </w:rPr>
        <w:t>本指导原则为适用于各类生物医学新技术开展确证性临床研究的通用性指导原则，涵盖了临床研究设计、实施、评价、数据质量和风险管理的共性要求，同时明确各类技术可结合技术机制、作用部位、操作方式、风险等级、目标疾病特点和前期研究基础等灵活适配。</w:t>
      </w:r>
      <w:bookmarkStart w:id="0" w:name="_GoBack"/>
      <w:bookmarkEnd w:id="0"/>
    </w:p>
    <w:sectPr w:rsidR="00492A54" w:rsidRPr="003125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030" w:rsidRDefault="00635030" w:rsidP="008C42DF">
      <w:pPr>
        <w:spacing w:after="0" w:line="240" w:lineRule="auto"/>
      </w:pPr>
      <w:r>
        <w:separator/>
      </w:r>
    </w:p>
  </w:endnote>
  <w:endnote w:type="continuationSeparator" w:id="0">
    <w:p w:rsidR="00635030" w:rsidRDefault="00635030" w:rsidP="008C4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030" w:rsidRDefault="00635030" w:rsidP="008C42DF">
      <w:pPr>
        <w:spacing w:after="0" w:line="240" w:lineRule="auto"/>
      </w:pPr>
      <w:r>
        <w:separator/>
      </w:r>
    </w:p>
  </w:footnote>
  <w:footnote w:type="continuationSeparator" w:id="0">
    <w:p w:rsidR="00635030" w:rsidRDefault="00635030" w:rsidP="008C42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7F"/>
    <w:rsid w:val="001C4BD0"/>
    <w:rsid w:val="0026592D"/>
    <w:rsid w:val="002F23CB"/>
    <w:rsid w:val="00312544"/>
    <w:rsid w:val="003168D2"/>
    <w:rsid w:val="0048218B"/>
    <w:rsid w:val="00492A54"/>
    <w:rsid w:val="00567C60"/>
    <w:rsid w:val="00580D37"/>
    <w:rsid w:val="00613C2E"/>
    <w:rsid w:val="00635030"/>
    <w:rsid w:val="0073787F"/>
    <w:rsid w:val="00824150"/>
    <w:rsid w:val="008B5ABB"/>
    <w:rsid w:val="008C42DF"/>
    <w:rsid w:val="00A2745A"/>
    <w:rsid w:val="00AC6BCE"/>
    <w:rsid w:val="00B43DDC"/>
    <w:rsid w:val="00BB3DFE"/>
    <w:rsid w:val="00D147BF"/>
    <w:rsid w:val="00D22AEA"/>
    <w:rsid w:val="00E97961"/>
    <w:rsid w:val="00EC5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DAA778-E58D-44BA-AB41-B929E4E4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87F"/>
    <w:pPr>
      <w:spacing w:after="200" w:line="276" w:lineRule="auto"/>
    </w:pPr>
    <w:rPr>
      <w:rFonts w:ascii="宋体" w:eastAsia="宋体" w:hAnsi="宋体"/>
      <w:kern w:val="0"/>
      <w:lang w:eastAsia="en-US"/>
    </w:rPr>
  </w:style>
  <w:style w:type="paragraph" w:styleId="1">
    <w:name w:val="heading 1"/>
    <w:basedOn w:val="a"/>
    <w:next w:val="a"/>
    <w:link w:val="10"/>
    <w:uiPriority w:val="9"/>
    <w:qFormat/>
    <w:rsid w:val="00D22AE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3787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qFormat/>
    <w:rsid w:val="0073787F"/>
    <w:rPr>
      <w:rFonts w:asciiTheme="majorHAnsi" w:eastAsiaTheme="majorEastAsia" w:hAnsiTheme="majorHAnsi" w:cstheme="majorBidi"/>
      <w:b/>
      <w:bCs/>
      <w:color w:val="5B9BD5" w:themeColor="accent1"/>
      <w:kern w:val="0"/>
      <w:sz w:val="26"/>
      <w:szCs w:val="26"/>
      <w:lang w:eastAsia="en-US"/>
    </w:rPr>
  </w:style>
  <w:style w:type="paragraph" w:styleId="a3">
    <w:name w:val="header"/>
    <w:basedOn w:val="a"/>
    <w:link w:val="a4"/>
    <w:uiPriority w:val="99"/>
    <w:unhideWhenUsed/>
    <w:rsid w:val="008C42DF"/>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8C42DF"/>
    <w:rPr>
      <w:rFonts w:ascii="宋体" w:eastAsia="宋体" w:hAnsi="宋体"/>
      <w:kern w:val="0"/>
      <w:sz w:val="18"/>
      <w:szCs w:val="18"/>
      <w:lang w:eastAsia="en-US"/>
    </w:rPr>
  </w:style>
  <w:style w:type="paragraph" w:styleId="a5">
    <w:name w:val="footer"/>
    <w:basedOn w:val="a"/>
    <w:link w:val="a6"/>
    <w:uiPriority w:val="99"/>
    <w:unhideWhenUsed/>
    <w:rsid w:val="008C42DF"/>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8C42DF"/>
    <w:rPr>
      <w:rFonts w:ascii="宋体" w:eastAsia="宋体" w:hAnsi="宋体"/>
      <w:kern w:val="0"/>
      <w:sz w:val="18"/>
      <w:szCs w:val="18"/>
      <w:lang w:eastAsia="en-US"/>
    </w:rPr>
  </w:style>
  <w:style w:type="paragraph" w:styleId="a7">
    <w:name w:val="Balloon Text"/>
    <w:basedOn w:val="a"/>
    <w:link w:val="a8"/>
    <w:uiPriority w:val="99"/>
    <w:semiHidden/>
    <w:unhideWhenUsed/>
    <w:rsid w:val="0026592D"/>
    <w:pPr>
      <w:spacing w:after="0" w:line="240" w:lineRule="auto"/>
    </w:pPr>
    <w:rPr>
      <w:sz w:val="18"/>
      <w:szCs w:val="18"/>
    </w:rPr>
  </w:style>
  <w:style w:type="character" w:customStyle="1" w:styleId="a8">
    <w:name w:val="批注框文本 字符"/>
    <w:basedOn w:val="a0"/>
    <w:link w:val="a7"/>
    <w:uiPriority w:val="99"/>
    <w:semiHidden/>
    <w:rsid w:val="0026592D"/>
    <w:rPr>
      <w:rFonts w:ascii="宋体" w:eastAsia="宋体" w:hAnsi="宋体"/>
      <w:kern w:val="0"/>
      <w:sz w:val="18"/>
      <w:szCs w:val="18"/>
      <w:lang w:eastAsia="en-US"/>
    </w:rPr>
  </w:style>
  <w:style w:type="character" w:customStyle="1" w:styleId="10">
    <w:name w:val="标题 1 字符"/>
    <w:basedOn w:val="a0"/>
    <w:link w:val="1"/>
    <w:uiPriority w:val="9"/>
    <w:rsid w:val="00D22AEA"/>
    <w:rPr>
      <w:rFonts w:ascii="宋体" w:eastAsia="宋体" w:hAnsi="宋体"/>
      <w:b/>
      <w:bCs/>
      <w:kern w:val="44"/>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dc:creator>
  <cp:keywords/>
  <dc:description/>
  <cp:lastModifiedBy>huangx</cp:lastModifiedBy>
  <cp:revision>4</cp:revision>
  <cp:lastPrinted>2026-06-05T02:40:00Z</cp:lastPrinted>
  <dcterms:created xsi:type="dcterms:W3CDTF">2026-06-09T01:22:00Z</dcterms:created>
  <dcterms:modified xsi:type="dcterms:W3CDTF">2026-06-09T02:51:00Z</dcterms:modified>
</cp:coreProperties>
</file>