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2A8" w:rsidRDefault="00057F96">
      <w:pPr>
        <w:rPr>
          <w:rFonts w:ascii="黑体" w:eastAsia="黑体" w:hAnsi="黑体" w:cs="黑体"/>
          <w:sz w:val="32"/>
        </w:rPr>
      </w:pPr>
      <w:bookmarkStart w:id="0" w:name="_GoBack"/>
      <w:bookmarkEnd w:id="0"/>
      <w:r>
        <w:rPr>
          <w:rFonts w:ascii="黑体" w:eastAsia="黑体" w:hAnsi="黑体" w:cs="黑体" w:hint="eastAsia"/>
          <w:sz w:val="32"/>
        </w:rPr>
        <w:t>附件</w:t>
      </w:r>
    </w:p>
    <w:p w:rsidR="00D602A8" w:rsidRDefault="00057F96">
      <w:pPr>
        <w:jc w:val="center"/>
        <w:rPr>
          <w:rFonts w:eastAsia="仿宋"/>
          <w:b/>
          <w:bCs/>
          <w:sz w:val="44"/>
          <w:szCs w:val="36"/>
        </w:rPr>
      </w:pPr>
      <w:r>
        <w:rPr>
          <w:rFonts w:ascii="方正小标宋简体" w:eastAsia="方正小标宋简体" w:hAnsi="方正小标宋简体" w:cs="方正小标宋简体" w:hint="eastAsia"/>
          <w:sz w:val="32"/>
          <w:szCs w:val="24"/>
        </w:rPr>
        <w:t>生物医学新技术临床研究备案完成项目基本信息（第</w:t>
      </w:r>
      <w:r>
        <w:rPr>
          <w:rFonts w:ascii="方正小标宋简体" w:eastAsia="方正小标宋简体" w:hAnsi="方正小标宋简体" w:cs="方正小标宋简体" w:hint="eastAsia"/>
          <w:sz w:val="32"/>
          <w:szCs w:val="24"/>
        </w:rPr>
        <w:t>13</w:t>
      </w:r>
      <w:r>
        <w:rPr>
          <w:rFonts w:ascii="方正小标宋简体" w:eastAsia="方正小标宋简体" w:hAnsi="方正小标宋简体" w:cs="方正小标宋简体" w:hint="eastAsia"/>
          <w:sz w:val="32"/>
          <w:szCs w:val="24"/>
        </w:rPr>
        <w:t>批）</w:t>
      </w:r>
    </w:p>
    <w:tbl>
      <w:tblPr>
        <w:tblW w:w="14041" w:type="dxa"/>
        <w:jc w:val="center"/>
        <w:tblLayout w:type="fixed"/>
        <w:tblLook w:val="04A0" w:firstRow="1" w:lastRow="0" w:firstColumn="1" w:lastColumn="0" w:noHBand="0" w:noVBand="1"/>
      </w:tblPr>
      <w:tblGrid>
        <w:gridCol w:w="878"/>
        <w:gridCol w:w="1814"/>
        <w:gridCol w:w="6247"/>
        <w:gridCol w:w="2551"/>
        <w:gridCol w:w="2551"/>
      </w:tblGrid>
      <w:tr w:rsidR="00D602A8">
        <w:trPr>
          <w:trHeight w:val="808"/>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序号</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b/>
                <w:bCs/>
                <w:color w:val="000000"/>
                <w:kern w:val="0"/>
                <w:sz w:val="24"/>
                <w:szCs w:val="18"/>
                <w:lang w:bidi="ar"/>
              </w:rPr>
            </w:pPr>
            <w:r>
              <w:rPr>
                <w:rFonts w:eastAsia="仿宋_GB2312" w:cs="宋体" w:hint="eastAsia"/>
                <w:b/>
                <w:bCs/>
                <w:color w:val="000000"/>
                <w:kern w:val="0"/>
                <w:sz w:val="24"/>
                <w:szCs w:val="18"/>
                <w:lang w:bidi="ar"/>
              </w:rPr>
              <w:t>备案号</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项目名称</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临床研究发起机构</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临床研究机构</w:t>
            </w:r>
          </w:p>
        </w:tc>
      </w:tr>
      <w:tr w:rsidR="00D602A8">
        <w:trPr>
          <w:trHeight w:val="884"/>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MR-N-36-2026-000140</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一项在晚期实体瘤受试者中评估</w:t>
            </w:r>
            <w:r>
              <w:rPr>
                <w:rFonts w:eastAsia="仿宋_GB2312" w:cs="仿宋_GB2312" w:hint="eastAsia"/>
                <w:color w:val="000000"/>
                <w:kern w:val="0"/>
                <w:sz w:val="24"/>
                <w:szCs w:val="22"/>
                <w:lang w:bidi="ar"/>
              </w:rPr>
              <w:t xml:space="preserve"> GK01 </w:t>
            </w:r>
            <w:r>
              <w:rPr>
                <w:rFonts w:eastAsia="仿宋_GB2312" w:cs="仿宋_GB2312" w:hint="eastAsia"/>
                <w:color w:val="000000"/>
                <w:kern w:val="0"/>
                <w:sz w:val="24"/>
                <w:szCs w:val="22"/>
                <w:lang w:bidi="ar"/>
              </w:rPr>
              <w:t>细</w:t>
            </w:r>
            <w:r>
              <w:rPr>
                <w:rFonts w:eastAsia="仿宋_GB2312" w:cs="仿宋_GB2312" w:hint="eastAsia"/>
                <w:color w:val="000000"/>
                <w:kern w:val="0"/>
                <w:sz w:val="24"/>
                <w:szCs w:val="22"/>
                <w:lang w:bidi="ar"/>
              </w:rPr>
              <w:t xml:space="preserve"> </w:t>
            </w:r>
            <w:r>
              <w:rPr>
                <w:rFonts w:eastAsia="仿宋_GB2312" w:cs="仿宋_GB2312" w:hint="eastAsia"/>
                <w:color w:val="000000"/>
                <w:kern w:val="0"/>
                <w:sz w:val="24"/>
                <w:szCs w:val="22"/>
                <w:lang w:bidi="ar"/>
              </w:rPr>
              <w:t>胞注射液的安全性、药代动力学和初步疗</w:t>
            </w:r>
            <w:r>
              <w:rPr>
                <w:rFonts w:eastAsia="仿宋_GB2312" w:cs="仿宋_GB2312" w:hint="eastAsia"/>
                <w:color w:val="000000"/>
                <w:kern w:val="0"/>
                <w:sz w:val="24"/>
                <w:szCs w:val="22"/>
                <w:lang w:bidi="ar"/>
              </w:rPr>
              <w:t xml:space="preserve"> </w:t>
            </w:r>
            <w:r>
              <w:rPr>
                <w:rFonts w:eastAsia="仿宋_GB2312" w:cs="仿宋_GB2312" w:hint="eastAsia"/>
                <w:color w:val="000000"/>
                <w:kern w:val="0"/>
                <w:sz w:val="24"/>
                <w:szCs w:val="22"/>
                <w:lang w:bidi="ar"/>
              </w:rPr>
              <w:t>效的</w:t>
            </w:r>
            <w:r>
              <w:rPr>
                <w:rFonts w:eastAsia="仿宋_GB2312" w:cs="仿宋_GB2312" w:hint="eastAsia"/>
                <w:color w:val="000000"/>
                <w:kern w:val="0"/>
                <w:sz w:val="24"/>
                <w:szCs w:val="22"/>
                <w:lang w:bidi="ar"/>
              </w:rPr>
              <w:t xml:space="preserve"> I </w:t>
            </w:r>
            <w:r>
              <w:rPr>
                <w:rFonts w:eastAsia="仿宋_GB2312" w:cs="仿宋_GB2312" w:hint="eastAsia"/>
                <w:color w:val="000000"/>
                <w:kern w:val="0"/>
                <w:sz w:val="24"/>
                <w:szCs w:val="22"/>
                <w:lang w:bidi="ar"/>
              </w:rPr>
              <w:t>期单臂开放性临床研究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北京极客基因科技有限公司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南昌大学第一附属医院</w:t>
            </w:r>
          </w:p>
        </w:tc>
      </w:tr>
      <w:tr w:rsidR="00D602A8">
        <w:trPr>
          <w:trHeight w:val="884"/>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MR-N-42-2026-000141</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一项评价</w:t>
            </w:r>
            <w:r>
              <w:rPr>
                <w:rFonts w:eastAsia="仿宋_GB2312" w:cs="仿宋_GB2312" w:hint="eastAsia"/>
                <w:color w:val="000000"/>
                <w:kern w:val="0"/>
                <w:sz w:val="24"/>
                <w:szCs w:val="22"/>
                <w:lang w:bidi="ar"/>
              </w:rPr>
              <w:t xml:space="preserve"> QH103 </w:t>
            </w:r>
            <w:r>
              <w:rPr>
                <w:rFonts w:eastAsia="仿宋_GB2312" w:cs="仿宋_GB2312" w:hint="eastAsia"/>
                <w:color w:val="000000"/>
                <w:kern w:val="0"/>
                <w:sz w:val="24"/>
                <w:szCs w:val="22"/>
                <w:lang w:bidi="ar"/>
              </w:rPr>
              <w:t>细胞注射液在治疗复发</w:t>
            </w:r>
            <w:r>
              <w:rPr>
                <w:rFonts w:eastAsia="仿宋_GB2312" w:cs="仿宋_GB2312" w:hint="eastAsia"/>
                <w:color w:val="000000"/>
                <w:kern w:val="0"/>
                <w:sz w:val="24"/>
                <w:szCs w:val="22"/>
                <w:lang w:bidi="ar"/>
              </w:rPr>
              <w:t>/</w:t>
            </w:r>
            <w:r>
              <w:rPr>
                <w:rFonts w:eastAsia="仿宋_GB2312" w:cs="仿宋_GB2312" w:hint="eastAsia"/>
                <w:color w:val="000000"/>
                <w:kern w:val="0"/>
                <w:sz w:val="24"/>
                <w:szCs w:val="22"/>
                <w:lang w:bidi="ar"/>
              </w:rPr>
              <w:t>难治性抗体介导的神经系统自身免疫性疾病患者的安全性和药效学的开放标签临床研究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北京清辉联诺生物科技有限责任公司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华中科技大学同济医学院附属同济医院</w:t>
            </w:r>
          </w:p>
        </w:tc>
      </w:tr>
      <w:tr w:rsidR="00D602A8">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MR-N-31-2026-000142</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GK01</w:t>
            </w:r>
            <w:r>
              <w:rPr>
                <w:rFonts w:eastAsia="仿宋_GB2312" w:cs="仿宋_GB2312" w:hint="eastAsia"/>
                <w:color w:val="000000"/>
                <w:kern w:val="0"/>
                <w:sz w:val="24"/>
                <w:szCs w:val="22"/>
                <w:lang w:bidi="ar"/>
              </w:rPr>
              <w:t>细胞治疗胃癌伴腹膜转移患者的安全性、耐受性和初步有效性</w:t>
            </w:r>
            <w:r>
              <w:rPr>
                <w:rFonts w:eastAsia="仿宋_GB2312" w:cs="仿宋_GB2312" w:hint="eastAsia"/>
                <w:color w:val="000000"/>
                <w:kern w:val="0"/>
                <w:sz w:val="24"/>
                <w:szCs w:val="22"/>
                <w:lang w:bidi="ar"/>
              </w:rPr>
              <w:t>IIT</w:t>
            </w:r>
            <w:r>
              <w:rPr>
                <w:rFonts w:eastAsia="仿宋_GB2312" w:cs="仿宋_GB2312" w:hint="eastAsia"/>
                <w:color w:val="000000"/>
                <w:kern w:val="0"/>
                <w:sz w:val="24"/>
                <w:szCs w:val="22"/>
                <w:lang w:bidi="ar"/>
              </w:rPr>
              <w:t>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上海交通大学医学院附属瑞金医院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上海交通大学医学院附属瑞金医院</w:t>
            </w:r>
          </w:p>
        </w:tc>
      </w:tr>
      <w:tr w:rsidR="00D602A8">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MR-N-32-2026-000143</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评价赋能干细胞</w:t>
            </w:r>
            <w:r>
              <w:rPr>
                <w:rFonts w:eastAsia="仿宋_GB2312" w:cs="仿宋_GB2312" w:hint="eastAsia"/>
                <w:color w:val="000000"/>
                <w:kern w:val="0"/>
                <w:sz w:val="24"/>
                <w:szCs w:val="22"/>
                <w:lang w:bidi="ar"/>
              </w:rPr>
              <w:t>ICE MSC</w:t>
            </w:r>
            <w:r>
              <w:rPr>
                <w:rFonts w:eastAsia="仿宋_GB2312" w:cs="仿宋_GB2312" w:hint="eastAsia"/>
                <w:color w:val="000000"/>
                <w:kern w:val="0"/>
                <w:sz w:val="24"/>
                <w:szCs w:val="22"/>
                <w:lang w:bidi="ar"/>
              </w:rPr>
              <w:t>联合自体皮片游离移植术在烧伤救治中的有效性及安全性的多中心随机、双盲、对照研究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无锡华泰创新药技术研究院有限公司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江南大学附属医院</w:t>
            </w:r>
          </w:p>
        </w:tc>
      </w:tr>
      <w:tr w:rsidR="00D602A8">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5</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MR-N-34-2026-000144</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代谢增强型肿瘤浸润淋巴细胞注射液用于治疗晚期实体瘤患者的安全性、有效性临床研究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中国科学技术大学附属第一医院（安徽省立医院）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中国科学技术大学附属第一医院（安徽省立医院）</w:t>
            </w:r>
          </w:p>
        </w:tc>
      </w:tr>
      <w:tr w:rsidR="00D602A8">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MR-N-44-2026-000145</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骨髓间充质干细胞治疗缺血性心肌病的安全性和有效性的随机对照实验</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高州市人民医院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高州市人民医院</w:t>
            </w:r>
          </w:p>
        </w:tc>
      </w:tr>
      <w:tr w:rsidR="00D602A8">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lastRenderedPageBreak/>
              <w:t>7</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MR-N-12-2026-000146</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一项研究者发起的评价</w:t>
            </w:r>
            <w:r>
              <w:rPr>
                <w:rFonts w:eastAsia="仿宋_GB2312" w:cs="仿宋_GB2312" w:hint="eastAsia"/>
                <w:color w:val="000000"/>
                <w:kern w:val="0"/>
                <w:sz w:val="24"/>
                <w:szCs w:val="22"/>
                <w:lang w:bidi="ar"/>
              </w:rPr>
              <w:t>PRBT001</w:t>
            </w:r>
            <w:r>
              <w:rPr>
                <w:rFonts w:eastAsia="仿宋_GB2312" w:cs="仿宋_GB2312" w:hint="eastAsia"/>
                <w:color w:val="000000"/>
                <w:kern w:val="0"/>
                <w:sz w:val="24"/>
                <w:szCs w:val="22"/>
                <w:lang w:bidi="ar"/>
              </w:rPr>
              <w:t>联合前列腺根治性切除术治疗前列腺癌患者的探索性研究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天津医科大学第二医院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天津医科大学第二医院</w:t>
            </w:r>
          </w:p>
        </w:tc>
      </w:tr>
      <w:tr w:rsidR="00D602A8">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8</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MR-N-42-2026-000147</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靶向</w:t>
            </w:r>
            <w:r>
              <w:rPr>
                <w:rFonts w:eastAsia="仿宋_GB2312" w:cs="仿宋_GB2312" w:hint="eastAsia"/>
                <w:color w:val="000000"/>
                <w:kern w:val="0"/>
                <w:sz w:val="24"/>
                <w:szCs w:val="22"/>
                <w:lang w:bidi="ar"/>
              </w:rPr>
              <w:t>CD19/BCMA</w:t>
            </w:r>
            <w:r>
              <w:rPr>
                <w:rFonts w:eastAsia="仿宋_GB2312" w:cs="仿宋_GB2312" w:hint="eastAsia"/>
                <w:color w:val="000000"/>
                <w:kern w:val="0"/>
                <w:sz w:val="24"/>
                <w:szCs w:val="22"/>
                <w:lang w:bidi="ar"/>
              </w:rPr>
              <w:t>的通用型</w:t>
            </w:r>
            <w:r>
              <w:rPr>
                <w:rFonts w:eastAsia="仿宋_GB2312" w:cs="仿宋_GB2312" w:hint="eastAsia"/>
                <w:color w:val="000000"/>
                <w:kern w:val="0"/>
                <w:sz w:val="24"/>
                <w:szCs w:val="22"/>
                <w:lang w:bidi="ar"/>
              </w:rPr>
              <w:t>CAR-T</w:t>
            </w:r>
            <w:r>
              <w:rPr>
                <w:rFonts w:eastAsia="仿宋_GB2312" w:cs="仿宋_GB2312" w:hint="eastAsia"/>
                <w:color w:val="000000"/>
                <w:kern w:val="0"/>
                <w:sz w:val="24"/>
                <w:szCs w:val="22"/>
                <w:lang w:bidi="ar"/>
              </w:rPr>
              <w:t>细胞注射液治疗神经系统自身免疫性疾病患者的安全性、有效性及药代动力学的临床研究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上海北恒生物科技有限公司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华中科技大学同济医学院附属同济医院</w:t>
            </w:r>
          </w:p>
        </w:tc>
      </w:tr>
      <w:tr w:rsidR="00D602A8">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9</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MR-N-22-2026-000148</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一项评估</w:t>
            </w:r>
            <w:r>
              <w:rPr>
                <w:rFonts w:eastAsia="仿宋_GB2312" w:cs="仿宋_GB2312" w:hint="eastAsia"/>
                <w:color w:val="000000"/>
                <w:kern w:val="0"/>
                <w:sz w:val="24"/>
                <w:szCs w:val="22"/>
                <w:lang w:bidi="ar"/>
              </w:rPr>
              <w:t>CART</w:t>
            </w:r>
            <w:r>
              <w:rPr>
                <w:rFonts w:eastAsia="仿宋_GB2312" w:cs="仿宋_GB2312" w:hint="eastAsia"/>
                <w:color w:val="000000"/>
                <w:kern w:val="0"/>
                <w:sz w:val="24"/>
                <w:szCs w:val="22"/>
                <w:lang w:bidi="ar"/>
              </w:rPr>
              <w:t>治疗方案在转移性去势抵抗性前列腺癌患者中的安全性和耐受性的单中心研究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上海斯丹赛生物技术有限公司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吉林大学第一医院</w:t>
            </w:r>
          </w:p>
        </w:tc>
      </w:tr>
      <w:tr w:rsidR="00D602A8">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10</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MR-N-11-2026-000149</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评估</w:t>
            </w:r>
            <w:r>
              <w:rPr>
                <w:rFonts w:eastAsia="仿宋_GB2312" w:cs="仿宋_GB2312" w:hint="eastAsia"/>
                <w:color w:val="000000"/>
                <w:kern w:val="0"/>
                <w:sz w:val="24"/>
                <w:szCs w:val="22"/>
                <w:lang w:bidi="ar"/>
              </w:rPr>
              <w:t>EVM16</w:t>
            </w:r>
            <w:r>
              <w:rPr>
                <w:rFonts w:eastAsia="仿宋_GB2312" w:cs="仿宋_GB2312" w:hint="eastAsia"/>
                <w:color w:val="000000"/>
                <w:kern w:val="0"/>
                <w:sz w:val="24"/>
                <w:szCs w:val="22"/>
                <w:lang w:bidi="ar"/>
              </w:rPr>
              <w:t>注射液单药及联合替雷利珠单抗治疗对晚期或复发实体瘤受试者的安全性、耐受性、免疫原性和初步疗效的剂量递增及扩展研究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云顶新耀医药科技有限公司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602A8" w:rsidRDefault="00057F96">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北京肿瘤医院（北京大学肿瘤医院）</w:t>
            </w:r>
          </w:p>
        </w:tc>
      </w:tr>
    </w:tbl>
    <w:p w:rsidR="00D602A8" w:rsidRDefault="00D602A8">
      <w:pPr>
        <w:rPr>
          <w:sz w:val="28"/>
          <w:szCs w:val="24"/>
        </w:rPr>
      </w:pPr>
    </w:p>
    <w:sectPr w:rsidR="00D602A8">
      <w:footerReference w:type="default" r:id="rId7"/>
      <w:pgSz w:w="16838" w:h="11906" w:orient="landscape"/>
      <w:pgMar w:top="1689" w:right="1327" w:bottom="1689" w:left="1327" w:header="851" w:footer="992" w:gutter="0"/>
      <w:pgNumType w:start="1"/>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F96" w:rsidRDefault="00057F96">
      <w:r>
        <w:separator/>
      </w:r>
    </w:p>
  </w:endnote>
  <w:endnote w:type="continuationSeparator" w:id="0">
    <w:p w:rsidR="00057F96" w:rsidRDefault="00057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embedRegular r:id="rId1" w:subsetted="1" w:fontKey="{87D50079-55D7-4B68-9071-704140AF2C69}"/>
  </w:font>
  <w:font w:name="黑体">
    <w:altName w:val="SimHei"/>
    <w:panose1 w:val="02010609060101010101"/>
    <w:charset w:val="86"/>
    <w:family w:val="modern"/>
    <w:pitch w:val="fixed"/>
    <w:sig w:usb0="800002BF" w:usb1="38CF7CFA" w:usb2="00000016" w:usb3="00000000" w:csb0="00040001" w:csb1="00000000"/>
    <w:embedRegular r:id="rId2" w:subsetted="1" w:fontKey="{CD0F73FC-4B61-4B34-86AA-02BAC1735AFA}"/>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3" w:subsetted="1" w:fontKey="{2FEB4430-A881-448A-8621-B87A6F991B5D}"/>
    <w:embedBold r:id="rId4" w:subsetted="1" w:fontKey="{12B65E31-D262-477A-AB07-02EAF77FCA33}"/>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1"/>
    <w:family w:val="modern"/>
    <w:pitch w:val="default"/>
    <w:sig w:usb0="E0002EFF" w:usb1="C0007843" w:usb2="00000009" w:usb3="00000000" w:csb0="400001FF" w:csb1="FFFF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2A8" w:rsidRDefault="00057F96">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602A8" w:rsidRDefault="00057F96">
                          <w:pPr>
                            <w:pStyle w:val="a6"/>
                          </w:pPr>
                          <w:r>
                            <w:fldChar w:fldCharType="begin"/>
                          </w:r>
                          <w:r>
                            <w:instrText xml:space="preserve"> PAGE  \* MERGEFORMAT </w:instrText>
                          </w:r>
                          <w:r>
                            <w:fldChar w:fldCharType="separate"/>
                          </w:r>
                          <w:r w:rsidR="00C676AE">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D602A8" w:rsidRDefault="00057F96">
                    <w:pPr>
                      <w:pStyle w:val="a6"/>
                    </w:pPr>
                    <w:r>
                      <w:fldChar w:fldCharType="begin"/>
                    </w:r>
                    <w:r>
                      <w:instrText xml:space="preserve"> PAGE  \* MERGEFORMAT </w:instrText>
                    </w:r>
                    <w:r>
                      <w:fldChar w:fldCharType="separate"/>
                    </w:r>
                    <w:r w:rsidR="00C676AE">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F96" w:rsidRDefault="00057F96">
      <w:r>
        <w:separator/>
      </w:r>
    </w:p>
  </w:footnote>
  <w:footnote w:type="continuationSeparator" w:id="0">
    <w:p w:rsidR="00057F96" w:rsidRDefault="00057F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saveSubsetFonts/>
  <w:defaultTabStop w:val="420"/>
  <w:drawingGridVerticalSpacing w:val="159"/>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0C7"/>
    <w:rsid w:val="00041108"/>
    <w:rsid w:val="00057F96"/>
    <w:rsid w:val="001635E2"/>
    <w:rsid w:val="00165DCC"/>
    <w:rsid w:val="00195271"/>
    <w:rsid w:val="001C0FFA"/>
    <w:rsid w:val="002F47D9"/>
    <w:rsid w:val="00320462"/>
    <w:rsid w:val="004667CD"/>
    <w:rsid w:val="0047172D"/>
    <w:rsid w:val="004F1963"/>
    <w:rsid w:val="00513439"/>
    <w:rsid w:val="005418B2"/>
    <w:rsid w:val="00551257"/>
    <w:rsid w:val="005741E5"/>
    <w:rsid w:val="00600F53"/>
    <w:rsid w:val="007B3053"/>
    <w:rsid w:val="00A5489E"/>
    <w:rsid w:val="00A849E1"/>
    <w:rsid w:val="00B47856"/>
    <w:rsid w:val="00B900DC"/>
    <w:rsid w:val="00C660C7"/>
    <w:rsid w:val="00C676AE"/>
    <w:rsid w:val="00CA7680"/>
    <w:rsid w:val="00D602A8"/>
    <w:rsid w:val="00FC4677"/>
    <w:rsid w:val="019407E0"/>
    <w:rsid w:val="042042C5"/>
    <w:rsid w:val="04363AE8"/>
    <w:rsid w:val="072B7208"/>
    <w:rsid w:val="08500BB1"/>
    <w:rsid w:val="08722947"/>
    <w:rsid w:val="0C2314F7"/>
    <w:rsid w:val="0CD91615"/>
    <w:rsid w:val="0F1534E1"/>
    <w:rsid w:val="0F540EA3"/>
    <w:rsid w:val="0F8B058F"/>
    <w:rsid w:val="1222260E"/>
    <w:rsid w:val="14D45000"/>
    <w:rsid w:val="15160E9C"/>
    <w:rsid w:val="15E31EF8"/>
    <w:rsid w:val="16520FFD"/>
    <w:rsid w:val="169627DE"/>
    <w:rsid w:val="197874D5"/>
    <w:rsid w:val="19F564E5"/>
    <w:rsid w:val="1A4E24AF"/>
    <w:rsid w:val="1AE6196C"/>
    <w:rsid w:val="1C543106"/>
    <w:rsid w:val="1C9D605B"/>
    <w:rsid w:val="1E0F6B3A"/>
    <w:rsid w:val="20A8006F"/>
    <w:rsid w:val="211C233A"/>
    <w:rsid w:val="22084F3E"/>
    <w:rsid w:val="22981C8A"/>
    <w:rsid w:val="23801CB6"/>
    <w:rsid w:val="26937BFF"/>
    <w:rsid w:val="2DFA177E"/>
    <w:rsid w:val="307F5D4C"/>
    <w:rsid w:val="30D95D59"/>
    <w:rsid w:val="338B4A07"/>
    <w:rsid w:val="34511DE2"/>
    <w:rsid w:val="351153E0"/>
    <w:rsid w:val="36F34D9D"/>
    <w:rsid w:val="37DD200A"/>
    <w:rsid w:val="391A4A3E"/>
    <w:rsid w:val="3A6F07B0"/>
    <w:rsid w:val="3AD13648"/>
    <w:rsid w:val="3AD64BEA"/>
    <w:rsid w:val="3D310236"/>
    <w:rsid w:val="3EE25446"/>
    <w:rsid w:val="41192A46"/>
    <w:rsid w:val="414E2EB6"/>
    <w:rsid w:val="44676DCB"/>
    <w:rsid w:val="47121221"/>
    <w:rsid w:val="499C12C5"/>
    <w:rsid w:val="4A5971B6"/>
    <w:rsid w:val="4CBD5006"/>
    <w:rsid w:val="515205FE"/>
    <w:rsid w:val="55FF5659"/>
    <w:rsid w:val="56497C14"/>
    <w:rsid w:val="58B009BD"/>
    <w:rsid w:val="59797ACE"/>
    <w:rsid w:val="5AC933B3"/>
    <w:rsid w:val="5C57048E"/>
    <w:rsid w:val="5DBC7D30"/>
    <w:rsid w:val="644840CB"/>
    <w:rsid w:val="65C00BC4"/>
    <w:rsid w:val="66C15A2D"/>
    <w:rsid w:val="67F325A0"/>
    <w:rsid w:val="6A333F49"/>
    <w:rsid w:val="6A8D2838"/>
    <w:rsid w:val="6C9A748E"/>
    <w:rsid w:val="6FED3D79"/>
    <w:rsid w:val="73E035E1"/>
    <w:rsid w:val="744359CE"/>
    <w:rsid w:val="75104B97"/>
    <w:rsid w:val="79A66A87"/>
    <w:rsid w:val="79C82CDA"/>
    <w:rsid w:val="7D6619C8"/>
    <w:rsid w:val="7F477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7CAB9C7-FE17-48B6-8DD8-A1A566F9A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cstheme="minorBidi"/>
      <w:kern w:val="2"/>
      <w:sz w:val="21"/>
    </w:rPr>
  </w:style>
  <w:style w:type="paragraph" w:styleId="1">
    <w:name w:val="heading 1"/>
    <w:basedOn w:val="a"/>
    <w:next w:val="a"/>
    <w:link w:val="10"/>
    <w:uiPriority w:val="9"/>
    <w:qFormat/>
    <w:pPr>
      <w:snapToGrid w:val="0"/>
      <w:spacing w:line="360" w:lineRule="auto"/>
      <w:jc w:val="center"/>
      <w:outlineLvl w:val="0"/>
    </w:pPr>
    <w:rPr>
      <w:rFonts w:ascii="方正小标宋简体" w:eastAsia="方正小标宋简体" w:hAnsi="方正小标宋简体"/>
      <w:sz w:val="36"/>
      <w:szCs w:val="32"/>
    </w:rPr>
  </w:style>
  <w:style w:type="paragraph" w:styleId="2">
    <w:name w:val="heading 2"/>
    <w:basedOn w:val="a0"/>
    <w:next w:val="a"/>
    <w:link w:val="20"/>
    <w:uiPriority w:val="9"/>
    <w:unhideWhenUsed/>
    <w:qFormat/>
    <w:pPr>
      <w:adjustRightInd w:val="0"/>
      <w:ind w:firstLine="200"/>
      <w:outlineLvl w:val="1"/>
    </w:pPr>
    <w:rPr>
      <w:rFonts w:ascii="黑体" w:eastAsia="黑体" w:hAnsi="黑体"/>
    </w:rPr>
  </w:style>
  <w:style w:type="paragraph" w:styleId="3">
    <w:name w:val="heading 3"/>
    <w:basedOn w:val="a"/>
    <w:next w:val="a"/>
    <w:link w:val="30"/>
    <w:uiPriority w:val="9"/>
    <w:unhideWhenUsed/>
    <w:qFormat/>
    <w:pPr>
      <w:adjustRightInd w:val="0"/>
      <w:snapToGrid w:val="0"/>
      <w:spacing w:line="360" w:lineRule="auto"/>
      <w:ind w:firstLineChars="200" w:firstLine="200"/>
      <w:outlineLvl w:val="2"/>
    </w:pPr>
    <w:rPr>
      <w:rFonts w:ascii="楷体" w:eastAsia="楷体" w:hAnsi="楷体"/>
      <w:b/>
      <w:sz w:val="32"/>
      <w:szCs w:val="32"/>
    </w:rPr>
  </w:style>
  <w:style w:type="paragraph" w:styleId="4">
    <w:name w:val="heading 4"/>
    <w:basedOn w:val="a"/>
    <w:next w:val="a"/>
    <w:link w:val="40"/>
    <w:uiPriority w:val="9"/>
    <w:unhideWhenUsed/>
    <w:qFormat/>
    <w:pPr>
      <w:adjustRightInd w:val="0"/>
      <w:snapToGrid w:val="0"/>
      <w:spacing w:line="360" w:lineRule="auto"/>
      <w:ind w:firstLineChars="200" w:firstLine="200"/>
      <w:outlineLvl w:val="3"/>
    </w:pPr>
    <w:rPr>
      <w:rFonts w:eastAsia="仿宋_GB2312"/>
      <w:sz w:val="32"/>
      <w:szCs w:val="32"/>
    </w:rPr>
  </w:style>
  <w:style w:type="paragraph" w:styleId="5">
    <w:name w:val="heading 5"/>
    <w:basedOn w:val="a"/>
    <w:next w:val="a"/>
    <w:link w:val="50"/>
    <w:uiPriority w:val="9"/>
    <w:unhideWhenUsed/>
    <w:qFormat/>
    <w:pPr>
      <w:adjustRightInd w:val="0"/>
      <w:snapToGrid w:val="0"/>
      <w:spacing w:line="360" w:lineRule="auto"/>
      <w:ind w:firstLineChars="200" w:firstLine="200"/>
      <w:outlineLvl w:val="4"/>
    </w:pPr>
    <w:rPr>
      <w:rFonts w:eastAsia="仿宋_GB2312"/>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pPr>
      <w:snapToGrid w:val="0"/>
      <w:spacing w:line="360" w:lineRule="auto"/>
      <w:ind w:firstLineChars="200" w:firstLine="420"/>
    </w:pPr>
    <w:rPr>
      <w:rFonts w:eastAsia="仿宋_GB2312"/>
      <w:sz w:val="32"/>
      <w:szCs w:val="32"/>
    </w:rPr>
  </w:style>
  <w:style w:type="paragraph" w:styleId="a4">
    <w:name w:val="Document Map"/>
    <w:basedOn w:val="a"/>
    <w:link w:val="a5"/>
    <w:uiPriority w:val="99"/>
    <w:semiHidden/>
    <w:unhideWhenUsed/>
    <w:qFormat/>
    <w:pPr>
      <w:snapToGrid w:val="0"/>
      <w:spacing w:line="360" w:lineRule="auto"/>
    </w:pPr>
    <w:rPr>
      <w:rFonts w:ascii="宋体"/>
      <w:sz w:val="18"/>
      <w:szCs w:val="18"/>
    </w:rPr>
  </w:style>
  <w:style w:type="paragraph" w:styleId="a6">
    <w:name w:val="footer"/>
    <w:basedOn w:val="a"/>
    <w:link w:val="a7"/>
    <w:uiPriority w:val="99"/>
    <w:unhideWhenUsed/>
    <w:qFormat/>
    <w:pPr>
      <w:tabs>
        <w:tab w:val="center" w:pos="4153"/>
        <w:tab w:val="right" w:pos="8306"/>
      </w:tabs>
      <w:snapToGrid w:val="0"/>
      <w:jc w:val="left"/>
    </w:pPr>
    <w:rPr>
      <w:rFonts w:eastAsia="仿宋_GB2312"/>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rFonts w:eastAsia="仿宋_GB2312"/>
      <w:sz w:val="18"/>
      <w:szCs w:val="18"/>
    </w:rPr>
  </w:style>
  <w:style w:type="paragraph" w:styleId="aa">
    <w:name w:val="Title"/>
    <w:basedOn w:val="a"/>
    <w:next w:val="a"/>
    <w:link w:val="ab"/>
    <w:uiPriority w:val="10"/>
    <w:qFormat/>
    <w:pPr>
      <w:spacing w:before="240" w:after="60"/>
      <w:jc w:val="center"/>
      <w:outlineLvl w:val="0"/>
    </w:pPr>
    <w:rPr>
      <w:rFonts w:asciiTheme="majorHAnsi" w:eastAsiaTheme="majorEastAsia" w:hAnsiTheme="majorHAnsi" w:cstheme="majorBidi"/>
      <w:b/>
      <w:bCs/>
      <w:sz w:val="32"/>
      <w:szCs w:val="32"/>
    </w:rPr>
  </w:style>
  <w:style w:type="character" w:styleId="ac">
    <w:name w:val="line number"/>
    <w:basedOn w:val="a1"/>
    <w:uiPriority w:val="99"/>
    <w:semiHidden/>
    <w:unhideWhenUsed/>
    <w:qFormat/>
  </w:style>
  <w:style w:type="character" w:styleId="HTML">
    <w:name w:val="HTML Code"/>
    <w:basedOn w:val="a1"/>
    <w:uiPriority w:val="99"/>
    <w:semiHidden/>
    <w:unhideWhenUsed/>
    <w:qFormat/>
    <w:rPr>
      <w:rFonts w:ascii="Courier New" w:hAnsi="Courier New"/>
      <w:sz w:val="20"/>
    </w:rPr>
  </w:style>
  <w:style w:type="character" w:customStyle="1" w:styleId="10">
    <w:name w:val="标题 1 字符"/>
    <w:basedOn w:val="a1"/>
    <w:link w:val="1"/>
    <w:uiPriority w:val="9"/>
    <w:qFormat/>
    <w:rPr>
      <w:rFonts w:ascii="方正小标宋简体" w:eastAsia="方正小标宋简体" w:hAnsi="方正小标宋简体"/>
      <w:sz w:val="36"/>
    </w:rPr>
  </w:style>
  <w:style w:type="character" w:customStyle="1" w:styleId="20">
    <w:name w:val="标题 2 字符"/>
    <w:basedOn w:val="a1"/>
    <w:link w:val="2"/>
    <w:uiPriority w:val="9"/>
    <w:qFormat/>
    <w:rPr>
      <w:rFonts w:ascii="黑体" w:eastAsia="黑体" w:hAnsi="黑体"/>
    </w:rPr>
  </w:style>
  <w:style w:type="character" w:customStyle="1" w:styleId="30">
    <w:name w:val="标题 3 字符"/>
    <w:basedOn w:val="a1"/>
    <w:link w:val="3"/>
    <w:uiPriority w:val="9"/>
    <w:qFormat/>
    <w:rPr>
      <w:rFonts w:ascii="楷体" w:eastAsia="楷体" w:hAnsi="楷体"/>
      <w:b/>
    </w:rPr>
  </w:style>
  <w:style w:type="character" w:customStyle="1" w:styleId="40">
    <w:name w:val="标题 4 字符"/>
    <w:basedOn w:val="a1"/>
    <w:link w:val="4"/>
    <w:uiPriority w:val="9"/>
    <w:qFormat/>
  </w:style>
  <w:style w:type="character" w:customStyle="1" w:styleId="50">
    <w:name w:val="标题 5 字符"/>
    <w:basedOn w:val="a1"/>
    <w:link w:val="5"/>
    <w:uiPriority w:val="9"/>
    <w:qFormat/>
  </w:style>
  <w:style w:type="character" w:customStyle="1" w:styleId="a9">
    <w:name w:val="页眉 字符"/>
    <w:basedOn w:val="a1"/>
    <w:link w:val="a8"/>
    <w:uiPriority w:val="99"/>
    <w:qFormat/>
    <w:rPr>
      <w:sz w:val="18"/>
      <w:szCs w:val="18"/>
    </w:rPr>
  </w:style>
  <w:style w:type="character" w:customStyle="1" w:styleId="a7">
    <w:name w:val="页脚 字符"/>
    <w:basedOn w:val="a1"/>
    <w:link w:val="a6"/>
    <w:uiPriority w:val="99"/>
    <w:qFormat/>
    <w:rPr>
      <w:sz w:val="18"/>
      <w:szCs w:val="18"/>
    </w:rPr>
  </w:style>
  <w:style w:type="character" w:customStyle="1" w:styleId="a5">
    <w:name w:val="文档结构图 字符"/>
    <w:basedOn w:val="a1"/>
    <w:link w:val="a4"/>
    <w:uiPriority w:val="99"/>
    <w:semiHidden/>
    <w:qFormat/>
    <w:rPr>
      <w:rFonts w:ascii="宋体" w:eastAsia="宋体"/>
      <w:sz w:val="18"/>
      <w:szCs w:val="18"/>
    </w:rPr>
  </w:style>
  <w:style w:type="character" w:customStyle="1" w:styleId="ab">
    <w:name w:val="标题 字符"/>
    <w:basedOn w:val="a1"/>
    <w:link w:val="aa"/>
    <w:uiPriority w:val="10"/>
    <w:qFormat/>
    <w:rPr>
      <w:rFonts w:asciiTheme="majorHAnsi" w:eastAsiaTheme="majorEastAsia" w:hAnsiTheme="majorHAnsi" w:cstheme="majorBidi"/>
      <w:b/>
      <w:bCs/>
    </w:rPr>
  </w:style>
  <w:style w:type="character" w:customStyle="1" w:styleId="font11">
    <w:name w:val="font11"/>
    <w:basedOn w:val="a1"/>
    <w:qFormat/>
    <w:rPr>
      <w:rFonts w:ascii="仿宋_GB2312" w:eastAsia="仿宋_GB2312" w:cs="仿宋_GB2312" w:hint="eastAsia"/>
      <w:color w:val="000000"/>
      <w:sz w:val="22"/>
      <w:szCs w:val="22"/>
      <w:u w:val="none"/>
    </w:rPr>
  </w:style>
  <w:style w:type="character" w:customStyle="1" w:styleId="font31">
    <w:name w:val="font3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303133"/>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159</Words>
  <Characters>911</Characters>
  <Application>Microsoft Office Word</Application>
  <DocSecurity>0</DocSecurity>
  <Lines>7</Lines>
  <Paragraphs>2</Paragraphs>
  <ScaleCrop>false</ScaleCrop>
  <Company>神州网信技术有限公司</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chenq</dc:creator>
  <cp:lastModifiedBy>gaozm</cp:lastModifiedBy>
  <cp:revision>10</cp:revision>
  <cp:lastPrinted>2026-07-29T04:36:00Z</cp:lastPrinted>
  <dcterms:created xsi:type="dcterms:W3CDTF">2026-05-09T02:05:00Z</dcterms:created>
  <dcterms:modified xsi:type="dcterms:W3CDTF">2026-10-19T10:46:00Z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eyJoZGlkIjoiYzQ4M2RmMjBkZTcxNzgwOTdiZmEyZGU3NDYzZGVjYjQiLCJ1c2VySWQiOiIxMTI1ODEzMjcyIn0=</vt:lpwstr>
  </property>
  <property fmtid="{D5CDD505-2E9C-101B-9397-08002B2CF9AE}" pid="3" name="KSOProductBuildVer">
    <vt:lpwstr>2052-12.1.0.28022</vt:lpwstr>
  </property>
  <property fmtid="{D5CDD505-2E9C-101B-9397-08002B2CF9AE}" pid="4" name="ICV">
    <vt:lpwstr>476D0B61FB9A464293C1FB909B3E0254_13</vt:lpwstr>
  </property>
</Properties>
</file>